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AF6" w:rsidRPr="00C5352E" w:rsidRDefault="00C26AF6" w:rsidP="00C26AF6">
      <w:pPr>
        <w:pStyle w:val="Geenafstand"/>
        <w:spacing w:line="480" w:lineRule="auto"/>
        <w:jc w:val="both"/>
        <w:rPr>
          <w:rFonts w:ascii="Arial" w:hAnsi="Arial" w:cs="Arial"/>
          <w:sz w:val="20"/>
        </w:rPr>
      </w:pPr>
    </w:p>
    <w:p w:rsidR="00C26AF6" w:rsidRDefault="00C26AF6" w:rsidP="00C26AF6">
      <w:pPr>
        <w:pStyle w:val="Geenafstand"/>
        <w:spacing w:line="480" w:lineRule="auto"/>
        <w:jc w:val="both"/>
        <w:rPr>
          <w:rFonts w:ascii="Arial" w:hAnsi="Arial" w:cs="Arial"/>
          <w:sz w:val="20"/>
        </w:rPr>
      </w:pPr>
    </w:p>
    <w:p w:rsidR="00CC7DDD" w:rsidRDefault="00CC7DDD" w:rsidP="00C26AF6">
      <w:pPr>
        <w:pStyle w:val="Geenafstand"/>
        <w:spacing w:line="480" w:lineRule="auto"/>
        <w:jc w:val="both"/>
        <w:rPr>
          <w:rFonts w:ascii="Arial" w:hAnsi="Arial" w:cs="Arial"/>
          <w:sz w:val="20"/>
        </w:rPr>
      </w:pPr>
    </w:p>
    <w:p w:rsidR="00CC7DDD" w:rsidRPr="00C5352E" w:rsidRDefault="00CC7DDD" w:rsidP="00C26AF6">
      <w:pPr>
        <w:pStyle w:val="Geenafstand"/>
        <w:spacing w:line="480" w:lineRule="auto"/>
        <w:jc w:val="both"/>
        <w:rPr>
          <w:rFonts w:ascii="Arial" w:hAnsi="Arial" w:cs="Arial"/>
          <w:sz w:val="20"/>
        </w:rPr>
      </w:pPr>
    </w:p>
    <w:p w:rsidR="00C26AF6" w:rsidRPr="00B2496F" w:rsidRDefault="00C26AF6" w:rsidP="003C0D3B">
      <w:pPr>
        <w:jc w:val="center"/>
        <w:rPr>
          <w:rFonts w:ascii="Arial" w:hAnsi="Arial" w:cs="Arial"/>
          <w:b/>
          <w:sz w:val="32"/>
        </w:rPr>
      </w:pPr>
      <w:r w:rsidRPr="00B2496F">
        <w:rPr>
          <w:rFonts w:ascii="Arial" w:hAnsi="Arial" w:cs="Arial"/>
          <w:b/>
          <w:sz w:val="32"/>
        </w:rPr>
        <w:t>Supplementary material</w:t>
      </w:r>
    </w:p>
    <w:p w:rsidR="00C5352E" w:rsidRPr="00B2496F" w:rsidRDefault="00C5352E" w:rsidP="00C5352E">
      <w:pPr>
        <w:pStyle w:val="Geenafstand"/>
        <w:spacing w:line="480" w:lineRule="auto"/>
        <w:rPr>
          <w:rStyle w:val="eTitelhoofdstukChar"/>
          <w:rFonts w:ascii="Arial" w:hAnsi="Arial" w:cs="Arial"/>
          <w:sz w:val="24"/>
        </w:rPr>
      </w:pPr>
    </w:p>
    <w:p w:rsidR="00C5352E" w:rsidRPr="00B2496F" w:rsidRDefault="00C5352E" w:rsidP="00C5352E">
      <w:pPr>
        <w:pStyle w:val="Geenafstand"/>
        <w:spacing w:line="480" w:lineRule="auto"/>
        <w:rPr>
          <w:rStyle w:val="eTitelhoofdstukChar"/>
          <w:rFonts w:ascii="Arial" w:hAnsi="Arial" w:cs="Arial"/>
          <w:sz w:val="24"/>
        </w:rPr>
      </w:pPr>
    </w:p>
    <w:p w:rsidR="00C5352E" w:rsidRPr="00B2496F" w:rsidRDefault="00BE185B" w:rsidP="00BE185B">
      <w:pPr>
        <w:spacing w:after="160" w:line="259" w:lineRule="auto"/>
        <w:jc w:val="center"/>
        <w:rPr>
          <w:rFonts w:ascii="Arial" w:hAnsi="Arial" w:cs="Arial"/>
          <w:sz w:val="20"/>
        </w:rPr>
      </w:pPr>
      <w:r w:rsidRPr="00B2496F">
        <w:rPr>
          <w:rStyle w:val="eTitelhoofdstukChar"/>
          <w:rFonts w:ascii="Arial" w:hAnsi="Arial" w:cs="Arial"/>
        </w:rPr>
        <w:t>SCORE2-OP risk prediction algorithms: estimating incident cardiovascular e</w:t>
      </w:r>
      <w:r w:rsidR="00771404" w:rsidRPr="00B2496F">
        <w:rPr>
          <w:rStyle w:val="eTitelhoofdstukChar"/>
          <w:rFonts w:ascii="Arial" w:hAnsi="Arial" w:cs="Arial"/>
        </w:rPr>
        <w:t xml:space="preserve">vent risk in older persons </w:t>
      </w:r>
      <w:r w:rsidRPr="00B2496F">
        <w:rPr>
          <w:rStyle w:val="eTitelhoofdstukChar"/>
          <w:rFonts w:ascii="Arial" w:hAnsi="Arial" w:cs="Arial"/>
        </w:rPr>
        <w:t>in four</w:t>
      </w:r>
      <w:r w:rsidR="00771404" w:rsidRPr="00B2496F">
        <w:rPr>
          <w:rStyle w:val="eTitelhoofdstukChar"/>
          <w:rFonts w:ascii="Arial" w:hAnsi="Arial" w:cs="Arial"/>
        </w:rPr>
        <w:t xml:space="preserve"> geographical</w:t>
      </w:r>
      <w:r w:rsidRPr="00B2496F">
        <w:rPr>
          <w:rStyle w:val="eTitelhoofdstukChar"/>
          <w:rFonts w:ascii="Arial" w:hAnsi="Arial" w:cs="Arial"/>
        </w:rPr>
        <w:t xml:space="preserve"> risk regions</w:t>
      </w:r>
      <w:r w:rsidR="00C5352E" w:rsidRPr="00B2496F">
        <w:rPr>
          <w:rFonts w:ascii="Arial" w:hAnsi="Arial" w:cs="Arial"/>
          <w:sz w:val="20"/>
        </w:rPr>
        <w:br w:type="page"/>
      </w:r>
    </w:p>
    <w:p w:rsidR="00C5352E" w:rsidRPr="00B2496F" w:rsidRDefault="00C5352E" w:rsidP="004F2611">
      <w:pPr>
        <w:pStyle w:val="aParagraafkop"/>
      </w:pPr>
      <w:r w:rsidRPr="00B2496F">
        <w:lastRenderedPageBreak/>
        <w:t>Contents List</w:t>
      </w:r>
    </w:p>
    <w:p w:rsidR="00C5352E" w:rsidRPr="00B2496F" w:rsidRDefault="00C5352E" w:rsidP="00C711C0">
      <w:pPr>
        <w:tabs>
          <w:tab w:val="left" w:pos="8931"/>
        </w:tabs>
        <w:spacing w:after="0" w:line="480" w:lineRule="auto"/>
        <w:ind w:right="-279"/>
        <w:rPr>
          <w:rFonts w:ascii="Arial" w:hAnsi="Arial" w:cs="Arial"/>
          <w:b/>
          <w:sz w:val="20"/>
        </w:rPr>
      </w:pPr>
      <w:r w:rsidRPr="00B2496F">
        <w:rPr>
          <w:rFonts w:ascii="Arial" w:hAnsi="Arial" w:cs="Arial"/>
          <w:b/>
          <w:sz w:val="20"/>
        </w:rPr>
        <w:tab/>
        <w:t>Page</w:t>
      </w:r>
    </w:p>
    <w:p w:rsidR="00C5352E" w:rsidRPr="00B2496F" w:rsidRDefault="008544D5" w:rsidP="00C711C0">
      <w:pPr>
        <w:tabs>
          <w:tab w:val="left" w:pos="2366"/>
          <w:tab w:val="left" w:pos="8931"/>
        </w:tabs>
        <w:spacing w:after="0" w:line="480" w:lineRule="auto"/>
        <w:rPr>
          <w:rFonts w:ascii="Arial" w:hAnsi="Arial" w:cs="Arial"/>
          <w:sz w:val="18"/>
        </w:rPr>
      </w:pPr>
      <w:r w:rsidRPr="00B2496F">
        <w:rPr>
          <w:rFonts w:ascii="Arial" w:hAnsi="Arial" w:cs="Arial"/>
          <w:b/>
          <w:sz w:val="18"/>
        </w:rPr>
        <w:t>Supplementary Methods</w:t>
      </w:r>
      <w:r w:rsidR="00C5352E" w:rsidRPr="00B2496F">
        <w:rPr>
          <w:rFonts w:ascii="Arial" w:hAnsi="Arial" w:cs="Arial"/>
          <w:sz w:val="18"/>
        </w:rPr>
        <w:tab/>
      </w:r>
      <w:r w:rsidRPr="00B2496F">
        <w:rPr>
          <w:rFonts w:ascii="Arial" w:hAnsi="Arial" w:cs="Arial"/>
          <w:sz w:val="18"/>
        </w:rPr>
        <w:tab/>
      </w:r>
      <w:r w:rsidR="00C5352E" w:rsidRPr="00B2496F">
        <w:rPr>
          <w:rFonts w:ascii="Arial" w:hAnsi="Arial" w:cs="Arial"/>
          <w:sz w:val="18"/>
        </w:rPr>
        <w:t>3</w:t>
      </w:r>
    </w:p>
    <w:p w:rsidR="00C711C0" w:rsidRPr="00B2496F" w:rsidRDefault="00C711C0" w:rsidP="00C711C0">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Table 1: </w:t>
      </w:r>
      <w:r w:rsidR="005E2FC8" w:rsidRPr="00B2496F">
        <w:rPr>
          <w:rFonts w:ascii="Arial" w:hAnsi="Arial" w:cs="Arial"/>
          <w:sz w:val="18"/>
        </w:rPr>
        <w:tab/>
        <w:t>Endp</w:t>
      </w:r>
      <w:r w:rsidR="00841F8D" w:rsidRPr="00B2496F">
        <w:rPr>
          <w:rFonts w:ascii="Arial" w:hAnsi="Arial" w:cs="Arial"/>
          <w:sz w:val="18"/>
        </w:rPr>
        <w:t>oint definitions</w:t>
      </w:r>
      <w:r w:rsidR="00841F8D" w:rsidRPr="00B2496F">
        <w:rPr>
          <w:rFonts w:ascii="Arial" w:hAnsi="Arial" w:cs="Arial"/>
          <w:sz w:val="18"/>
        </w:rPr>
        <w:tab/>
        <w:t>17</w:t>
      </w:r>
    </w:p>
    <w:p w:rsidR="00C711C0" w:rsidRPr="00B2496F" w:rsidRDefault="00C711C0" w:rsidP="00C711C0">
      <w:pPr>
        <w:tabs>
          <w:tab w:val="left" w:pos="2366"/>
          <w:tab w:val="left" w:pos="8931"/>
        </w:tabs>
        <w:spacing w:after="0" w:line="480" w:lineRule="auto"/>
        <w:rPr>
          <w:rFonts w:ascii="Arial" w:hAnsi="Arial" w:cs="Arial"/>
          <w:sz w:val="18"/>
        </w:rPr>
      </w:pPr>
      <w:r w:rsidRPr="00B2496F">
        <w:rPr>
          <w:rFonts w:ascii="Arial" w:hAnsi="Arial" w:cs="Arial"/>
          <w:b/>
          <w:sz w:val="18"/>
        </w:rPr>
        <w:t>Supplementary Table 2:</w:t>
      </w:r>
      <w:r w:rsidRPr="00B2496F">
        <w:rPr>
          <w:rFonts w:ascii="Arial" w:hAnsi="Arial" w:cs="Arial"/>
          <w:sz w:val="18"/>
        </w:rPr>
        <w:tab/>
        <w:t>Age- and sex-standardized CV</w:t>
      </w:r>
      <w:r w:rsidR="0007114C" w:rsidRPr="00B2496F">
        <w:rPr>
          <w:rFonts w:ascii="Arial" w:hAnsi="Arial" w:cs="Arial"/>
          <w:sz w:val="18"/>
        </w:rPr>
        <w:t xml:space="preserve">D mortality rates per </w:t>
      </w:r>
      <w:r w:rsidR="00841F8D" w:rsidRPr="00B2496F">
        <w:rPr>
          <w:rFonts w:ascii="Arial" w:hAnsi="Arial" w:cs="Arial"/>
          <w:sz w:val="18"/>
        </w:rPr>
        <w:t>country</w:t>
      </w:r>
      <w:r w:rsidR="00841F8D" w:rsidRPr="00B2496F">
        <w:rPr>
          <w:rFonts w:ascii="Arial" w:hAnsi="Arial" w:cs="Arial"/>
          <w:sz w:val="18"/>
        </w:rPr>
        <w:tab/>
        <w:t>18</w:t>
      </w:r>
    </w:p>
    <w:p w:rsidR="00C711C0" w:rsidRPr="00B2496F" w:rsidRDefault="00C711C0" w:rsidP="00C711C0">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Table </w:t>
      </w:r>
      <w:r w:rsidR="00841F8D" w:rsidRPr="00B2496F">
        <w:rPr>
          <w:rFonts w:ascii="Arial" w:hAnsi="Arial" w:cs="Arial"/>
          <w:b/>
          <w:sz w:val="18"/>
        </w:rPr>
        <w:t>3</w:t>
      </w:r>
      <w:r w:rsidRPr="00B2496F">
        <w:rPr>
          <w:rFonts w:ascii="Arial" w:hAnsi="Arial" w:cs="Arial"/>
          <w:b/>
          <w:sz w:val="18"/>
        </w:rPr>
        <w:t>:</w:t>
      </w:r>
      <w:r w:rsidRPr="00B2496F">
        <w:rPr>
          <w:rFonts w:ascii="Arial" w:hAnsi="Arial" w:cs="Arial"/>
          <w:sz w:val="18"/>
        </w:rPr>
        <w:t xml:space="preserve"> </w:t>
      </w:r>
      <w:r w:rsidRPr="00B2496F">
        <w:rPr>
          <w:rFonts w:ascii="Arial" w:hAnsi="Arial" w:cs="Arial"/>
          <w:sz w:val="18"/>
        </w:rPr>
        <w:tab/>
        <w:t xml:space="preserve">Age-, sex-, and region-specific multiplication factors for fatal to total </w:t>
      </w:r>
      <w:r w:rsidR="005F2F22" w:rsidRPr="00B2496F">
        <w:rPr>
          <w:rFonts w:ascii="Arial" w:hAnsi="Arial" w:cs="Arial"/>
          <w:sz w:val="18"/>
        </w:rPr>
        <w:t xml:space="preserve">CVD </w:t>
      </w:r>
      <w:r w:rsidRPr="00B2496F">
        <w:rPr>
          <w:rFonts w:ascii="Arial" w:hAnsi="Arial" w:cs="Arial"/>
          <w:sz w:val="18"/>
        </w:rPr>
        <w:t>events</w:t>
      </w:r>
      <w:r w:rsidRPr="00B2496F">
        <w:rPr>
          <w:rFonts w:ascii="Arial" w:hAnsi="Arial" w:cs="Arial"/>
          <w:sz w:val="18"/>
        </w:rPr>
        <w:tab/>
      </w:r>
      <w:r w:rsidR="00841F8D" w:rsidRPr="00B2496F">
        <w:rPr>
          <w:rFonts w:ascii="Arial" w:hAnsi="Arial" w:cs="Arial"/>
          <w:sz w:val="18"/>
        </w:rPr>
        <w:t>19</w:t>
      </w:r>
    </w:p>
    <w:p w:rsidR="00841F8D" w:rsidRPr="00B2496F" w:rsidRDefault="00841F8D" w:rsidP="00841F8D">
      <w:pPr>
        <w:tabs>
          <w:tab w:val="left" w:pos="2366"/>
          <w:tab w:val="left" w:pos="8931"/>
        </w:tabs>
        <w:spacing w:after="0" w:line="480" w:lineRule="auto"/>
        <w:rPr>
          <w:rFonts w:ascii="Arial" w:hAnsi="Arial" w:cs="Arial"/>
          <w:sz w:val="18"/>
        </w:rPr>
      </w:pPr>
      <w:r w:rsidRPr="00B2496F">
        <w:rPr>
          <w:rFonts w:ascii="Arial" w:hAnsi="Arial" w:cs="Arial"/>
          <w:b/>
          <w:sz w:val="18"/>
        </w:rPr>
        <w:t>Supplementary Table 4:</w:t>
      </w:r>
      <w:r w:rsidRPr="00B2496F">
        <w:rPr>
          <w:rFonts w:ascii="Arial" w:hAnsi="Arial" w:cs="Arial"/>
          <w:sz w:val="18"/>
        </w:rPr>
        <w:t xml:space="preserve"> </w:t>
      </w:r>
      <w:r w:rsidRPr="00B2496F">
        <w:rPr>
          <w:rFonts w:ascii="Arial" w:hAnsi="Arial" w:cs="Arial"/>
          <w:sz w:val="18"/>
        </w:rPr>
        <w:tab/>
        <w:t>Age- and sex-specific multiplication factors for CVD events incl. heart failure</w:t>
      </w:r>
      <w:r w:rsidRPr="00B2496F">
        <w:rPr>
          <w:rFonts w:ascii="Arial" w:hAnsi="Arial" w:cs="Arial"/>
          <w:sz w:val="18"/>
        </w:rPr>
        <w:tab/>
        <w:t>20</w:t>
      </w:r>
    </w:p>
    <w:p w:rsidR="00C711C0" w:rsidRPr="00B2496F" w:rsidRDefault="00C711C0" w:rsidP="00C711C0">
      <w:pPr>
        <w:tabs>
          <w:tab w:val="left" w:pos="2366"/>
          <w:tab w:val="left" w:pos="8931"/>
        </w:tabs>
        <w:spacing w:after="0" w:line="480" w:lineRule="auto"/>
        <w:rPr>
          <w:rFonts w:ascii="Arial" w:hAnsi="Arial" w:cs="Arial"/>
          <w:sz w:val="18"/>
        </w:rPr>
      </w:pPr>
      <w:r w:rsidRPr="00B2496F">
        <w:rPr>
          <w:rFonts w:ascii="Arial" w:hAnsi="Arial" w:cs="Arial"/>
          <w:b/>
          <w:sz w:val="18"/>
        </w:rPr>
        <w:t>Supplementary Table 5:</w:t>
      </w:r>
      <w:r w:rsidRPr="00B2496F">
        <w:rPr>
          <w:rFonts w:ascii="Arial" w:hAnsi="Arial" w:cs="Arial"/>
          <w:sz w:val="18"/>
        </w:rPr>
        <w:t xml:space="preserve"> </w:t>
      </w:r>
      <w:r w:rsidRPr="00B2496F">
        <w:rPr>
          <w:rFonts w:ascii="Arial" w:hAnsi="Arial" w:cs="Arial"/>
          <w:sz w:val="18"/>
        </w:rPr>
        <w:tab/>
        <w:t>Regional risk factor levels and incidence rates used for recalibration</w:t>
      </w:r>
      <w:r w:rsidRPr="00B2496F">
        <w:rPr>
          <w:rFonts w:ascii="Arial" w:hAnsi="Arial" w:cs="Arial"/>
          <w:sz w:val="18"/>
        </w:rPr>
        <w:tab/>
      </w:r>
      <w:r w:rsidR="00841F8D" w:rsidRPr="00B2496F">
        <w:rPr>
          <w:rFonts w:ascii="Arial" w:hAnsi="Arial" w:cs="Arial"/>
          <w:sz w:val="18"/>
        </w:rPr>
        <w:t>21</w:t>
      </w:r>
    </w:p>
    <w:p w:rsidR="006E0FD6" w:rsidRPr="00B2496F" w:rsidRDefault="006E0FD6" w:rsidP="00C711C0">
      <w:pPr>
        <w:tabs>
          <w:tab w:val="left" w:pos="2366"/>
          <w:tab w:val="left" w:pos="8931"/>
        </w:tabs>
        <w:spacing w:after="0" w:line="480" w:lineRule="auto"/>
        <w:rPr>
          <w:rFonts w:ascii="Arial" w:hAnsi="Arial" w:cs="Arial"/>
          <w:sz w:val="18"/>
        </w:rPr>
      </w:pPr>
      <w:r w:rsidRPr="00B2496F">
        <w:rPr>
          <w:rFonts w:ascii="Arial" w:hAnsi="Arial" w:cs="Arial"/>
          <w:b/>
          <w:sz w:val="18"/>
        </w:rPr>
        <w:t>Supplementary Table 6:</w:t>
      </w:r>
      <w:r w:rsidRPr="00B2496F">
        <w:rPr>
          <w:rFonts w:ascii="Arial" w:hAnsi="Arial" w:cs="Arial"/>
          <w:sz w:val="18"/>
        </w:rPr>
        <w:tab/>
        <w:t>Comparison between SCORE2-OP and ASCVD risk engine</w:t>
      </w:r>
      <w:r w:rsidRPr="00B2496F">
        <w:rPr>
          <w:rFonts w:ascii="Arial" w:hAnsi="Arial" w:cs="Arial"/>
          <w:sz w:val="18"/>
        </w:rPr>
        <w:tab/>
        <w:t>22</w:t>
      </w:r>
    </w:p>
    <w:p w:rsidR="002825F3" w:rsidRPr="00B2496F" w:rsidRDefault="002825F3" w:rsidP="00C711C0">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Table 7: </w:t>
      </w:r>
      <w:r w:rsidRPr="00B2496F">
        <w:rPr>
          <w:rFonts w:ascii="Arial" w:hAnsi="Arial" w:cs="Arial"/>
          <w:sz w:val="18"/>
        </w:rPr>
        <w:tab/>
        <w:t>Comparison of time-dependent ROC and Harrell’s C-statistic</w:t>
      </w:r>
      <w:r w:rsidRPr="00B2496F">
        <w:rPr>
          <w:rFonts w:ascii="Arial" w:hAnsi="Arial" w:cs="Arial"/>
          <w:sz w:val="18"/>
        </w:rPr>
        <w:tab/>
        <w:t>23</w:t>
      </w:r>
    </w:p>
    <w:p w:rsidR="00841F8D" w:rsidRPr="00B2496F" w:rsidRDefault="00841F8D" w:rsidP="00841F8D">
      <w:pPr>
        <w:tabs>
          <w:tab w:val="left" w:pos="2366"/>
          <w:tab w:val="left" w:pos="8931"/>
        </w:tabs>
        <w:spacing w:after="0" w:line="480" w:lineRule="auto"/>
        <w:ind w:left="2786" w:hanging="2786"/>
        <w:rPr>
          <w:rFonts w:ascii="Arial" w:hAnsi="Arial" w:cs="Arial"/>
          <w:sz w:val="18"/>
        </w:rPr>
      </w:pPr>
      <w:r w:rsidRPr="00B2496F">
        <w:rPr>
          <w:rFonts w:ascii="Arial" w:hAnsi="Arial" w:cs="Arial"/>
          <w:b/>
          <w:sz w:val="18"/>
        </w:rPr>
        <w:t xml:space="preserve">Supplementary Figure 1: </w:t>
      </w:r>
      <w:r w:rsidRPr="00B2496F">
        <w:rPr>
          <w:rFonts w:ascii="Arial" w:hAnsi="Arial" w:cs="Arial"/>
          <w:sz w:val="18"/>
        </w:rPr>
        <w:tab/>
        <w:t>Distribution</w:t>
      </w:r>
      <w:r w:rsidR="002825F3" w:rsidRPr="00B2496F">
        <w:rPr>
          <w:rFonts w:ascii="Arial" w:hAnsi="Arial" w:cs="Arial"/>
          <w:sz w:val="18"/>
        </w:rPr>
        <w:t xml:space="preserve"> of countries in risk regions</w:t>
      </w:r>
      <w:r w:rsidR="002825F3" w:rsidRPr="00B2496F">
        <w:rPr>
          <w:rFonts w:ascii="Arial" w:hAnsi="Arial" w:cs="Arial"/>
          <w:sz w:val="18"/>
        </w:rPr>
        <w:tab/>
        <w:t>24</w:t>
      </w:r>
    </w:p>
    <w:p w:rsidR="00841F8D" w:rsidRPr="00B2496F" w:rsidRDefault="00841F8D" w:rsidP="00841F8D">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Figure 2: </w:t>
      </w:r>
      <w:r w:rsidRPr="00B2496F">
        <w:rPr>
          <w:rFonts w:ascii="Arial" w:hAnsi="Arial" w:cs="Arial"/>
          <w:b/>
          <w:sz w:val="18"/>
        </w:rPr>
        <w:tab/>
      </w:r>
      <w:r w:rsidRPr="00B2496F">
        <w:rPr>
          <w:rFonts w:ascii="Arial" w:hAnsi="Arial" w:cs="Arial"/>
          <w:sz w:val="18"/>
        </w:rPr>
        <w:t>The relative effect of r</w:t>
      </w:r>
      <w:r w:rsidR="002825F3" w:rsidRPr="00B2496F">
        <w:rPr>
          <w:rFonts w:ascii="Arial" w:hAnsi="Arial" w:cs="Arial"/>
          <w:sz w:val="18"/>
        </w:rPr>
        <w:t>isk factors at different ages</w:t>
      </w:r>
      <w:r w:rsidR="002825F3" w:rsidRPr="00B2496F">
        <w:rPr>
          <w:rFonts w:ascii="Arial" w:hAnsi="Arial" w:cs="Arial"/>
          <w:sz w:val="18"/>
        </w:rPr>
        <w:tab/>
        <w:t>25</w:t>
      </w:r>
    </w:p>
    <w:p w:rsidR="00841F8D" w:rsidRPr="00B2496F" w:rsidRDefault="00841F8D" w:rsidP="00841F8D">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Figure 3: </w:t>
      </w:r>
      <w:r w:rsidRPr="00B2496F">
        <w:rPr>
          <w:rFonts w:ascii="Arial" w:hAnsi="Arial" w:cs="Arial"/>
          <w:b/>
          <w:sz w:val="18"/>
        </w:rPr>
        <w:tab/>
      </w:r>
      <w:r w:rsidRPr="00B2496F">
        <w:rPr>
          <w:rFonts w:ascii="Arial" w:hAnsi="Arial" w:cs="Arial"/>
          <w:sz w:val="18"/>
        </w:rPr>
        <w:t xml:space="preserve">Calibration plots of observed versus estimated risks </w:t>
      </w:r>
      <w:r w:rsidR="002825F3" w:rsidRPr="00B2496F">
        <w:rPr>
          <w:rFonts w:ascii="Arial" w:hAnsi="Arial" w:cs="Arial"/>
          <w:sz w:val="18"/>
        </w:rPr>
        <w:t>within CONOR</w:t>
      </w:r>
      <w:r w:rsidR="002825F3" w:rsidRPr="00B2496F">
        <w:rPr>
          <w:rFonts w:ascii="Arial" w:hAnsi="Arial" w:cs="Arial"/>
          <w:sz w:val="18"/>
        </w:rPr>
        <w:tab/>
        <w:t>26</w:t>
      </w:r>
    </w:p>
    <w:p w:rsidR="00841F8D" w:rsidRPr="00B2496F" w:rsidRDefault="00841F8D" w:rsidP="00841F8D">
      <w:pPr>
        <w:tabs>
          <w:tab w:val="left" w:pos="2366"/>
          <w:tab w:val="left" w:pos="8931"/>
        </w:tabs>
        <w:spacing w:after="0" w:line="480" w:lineRule="auto"/>
        <w:rPr>
          <w:rFonts w:ascii="Arial" w:hAnsi="Arial" w:cs="Arial"/>
          <w:sz w:val="18"/>
        </w:rPr>
      </w:pPr>
      <w:r w:rsidRPr="00B2496F">
        <w:rPr>
          <w:rFonts w:ascii="Arial" w:hAnsi="Arial" w:cs="Arial"/>
          <w:b/>
          <w:sz w:val="18"/>
        </w:rPr>
        <w:t>Supplementary Figure 4:</w:t>
      </w:r>
      <w:r w:rsidRPr="00B2496F">
        <w:rPr>
          <w:rFonts w:ascii="Arial" w:hAnsi="Arial" w:cs="Arial"/>
          <w:sz w:val="18"/>
        </w:rPr>
        <w:t xml:space="preserve"> </w:t>
      </w:r>
      <w:r w:rsidRPr="00B2496F">
        <w:rPr>
          <w:rFonts w:ascii="Arial" w:hAnsi="Arial" w:cs="Arial"/>
          <w:sz w:val="18"/>
        </w:rPr>
        <w:tab/>
        <w:t xml:space="preserve">Cardiovascular mortality and </w:t>
      </w:r>
      <w:r w:rsidR="002825F3" w:rsidRPr="00B2496F">
        <w:rPr>
          <w:rFonts w:ascii="Arial" w:hAnsi="Arial" w:cs="Arial"/>
          <w:sz w:val="18"/>
        </w:rPr>
        <w:t>incidence in all risk regions</w:t>
      </w:r>
      <w:r w:rsidR="002825F3" w:rsidRPr="00B2496F">
        <w:rPr>
          <w:rFonts w:ascii="Arial" w:hAnsi="Arial" w:cs="Arial"/>
          <w:sz w:val="18"/>
        </w:rPr>
        <w:tab/>
        <w:t>27</w:t>
      </w:r>
    </w:p>
    <w:p w:rsidR="00841F8D" w:rsidRPr="00B2496F" w:rsidRDefault="00841F8D" w:rsidP="00841F8D">
      <w:pPr>
        <w:tabs>
          <w:tab w:val="left" w:pos="2366"/>
          <w:tab w:val="left" w:pos="8931"/>
        </w:tabs>
        <w:spacing w:after="0" w:line="480" w:lineRule="auto"/>
        <w:rPr>
          <w:rFonts w:ascii="Arial" w:hAnsi="Arial" w:cs="Arial"/>
          <w:sz w:val="18"/>
        </w:rPr>
      </w:pPr>
      <w:r w:rsidRPr="00B2496F">
        <w:rPr>
          <w:rFonts w:ascii="Arial" w:hAnsi="Arial" w:cs="Arial"/>
          <w:b/>
          <w:sz w:val="18"/>
        </w:rPr>
        <w:t>Supplementary Figure 5:</w:t>
      </w:r>
      <w:r w:rsidRPr="00B2496F">
        <w:rPr>
          <w:rFonts w:ascii="Arial" w:hAnsi="Arial" w:cs="Arial"/>
          <w:sz w:val="18"/>
        </w:rPr>
        <w:tab/>
        <w:t>Estimated CVD incidence r</w:t>
      </w:r>
      <w:r w:rsidR="002825F3" w:rsidRPr="00B2496F">
        <w:rPr>
          <w:rFonts w:ascii="Arial" w:hAnsi="Arial" w:cs="Arial"/>
          <w:sz w:val="18"/>
        </w:rPr>
        <w:t>ates and predicted risks</w:t>
      </w:r>
      <w:r w:rsidR="002825F3" w:rsidRPr="00B2496F">
        <w:rPr>
          <w:rFonts w:ascii="Arial" w:hAnsi="Arial" w:cs="Arial"/>
          <w:sz w:val="18"/>
        </w:rPr>
        <w:tab/>
        <w:t>28</w:t>
      </w:r>
    </w:p>
    <w:p w:rsidR="008B5041" w:rsidRDefault="008B5041" w:rsidP="008B5041">
      <w:pPr>
        <w:tabs>
          <w:tab w:val="left" w:pos="2366"/>
          <w:tab w:val="left" w:pos="8931"/>
        </w:tabs>
        <w:spacing w:after="0" w:line="480" w:lineRule="auto"/>
        <w:rPr>
          <w:rFonts w:ascii="Arial" w:hAnsi="Arial" w:cs="Arial"/>
          <w:sz w:val="18"/>
        </w:rPr>
      </w:pPr>
      <w:r w:rsidRPr="00B2496F">
        <w:rPr>
          <w:rFonts w:ascii="Arial" w:hAnsi="Arial" w:cs="Arial"/>
          <w:b/>
          <w:sz w:val="18"/>
        </w:rPr>
        <w:t>Supplementary Figure 6:</w:t>
      </w:r>
      <w:r w:rsidRPr="00B2496F">
        <w:rPr>
          <w:rFonts w:ascii="Arial" w:hAnsi="Arial" w:cs="Arial"/>
          <w:sz w:val="18"/>
        </w:rPr>
        <w:tab/>
        <w:t>Calibration plots of observed versus estimated risks for external populations</w:t>
      </w:r>
      <w:r w:rsidRPr="00B2496F">
        <w:rPr>
          <w:rFonts w:ascii="Arial" w:hAnsi="Arial" w:cs="Arial"/>
          <w:sz w:val="18"/>
        </w:rPr>
        <w:tab/>
        <w:t>29</w:t>
      </w:r>
    </w:p>
    <w:p w:rsidR="00355CD1" w:rsidRDefault="00355CD1" w:rsidP="00355CD1">
      <w:pPr>
        <w:tabs>
          <w:tab w:val="left" w:pos="2366"/>
          <w:tab w:val="left" w:pos="8931"/>
        </w:tabs>
        <w:spacing w:after="0" w:line="480" w:lineRule="auto"/>
        <w:rPr>
          <w:rFonts w:ascii="Arial" w:hAnsi="Arial" w:cs="Arial"/>
          <w:sz w:val="18"/>
        </w:rPr>
      </w:pPr>
      <w:r>
        <w:rPr>
          <w:rFonts w:ascii="Arial" w:hAnsi="Arial" w:cs="Arial"/>
          <w:b/>
          <w:sz w:val="18"/>
        </w:rPr>
        <w:t>Supplementary Figure 7</w:t>
      </w:r>
      <w:r w:rsidRPr="00B2496F">
        <w:rPr>
          <w:rFonts w:ascii="Arial" w:hAnsi="Arial" w:cs="Arial"/>
          <w:b/>
          <w:sz w:val="18"/>
        </w:rPr>
        <w:t>:</w:t>
      </w:r>
      <w:r w:rsidRPr="00B2496F">
        <w:rPr>
          <w:rFonts w:ascii="Arial" w:hAnsi="Arial" w:cs="Arial"/>
          <w:sz w:val="18"/>
        </w:rPr>
        <w:tab/>
      </w:r>
      <w:r w:rsidRPr="00355CD1">
        <w:rPr>
          <w:rFonts w:ascii="Arial" w:hAnsi="Arial" w:cs="Arial"/>
          <w:sz w:val="18"/>
        </w:rPr>
        <w:t>Age- and sex-specific distributions of CVD risk in the four risk regions</w:t>
      </w:r>
      <w:r w:rsidRPr="00B2496F">
        <w:rPr>
          <w:rFonts w:ascii="Arial" w:hAnsi="Arial" w:cs="Arial"/>
          <w:sz w:val="18"/>
        </w:rPr>
        <w:tab/>
      </w:r>
      <w:r>
        <w:rPr>
          <w:rFonts w:ascii="Arial" w:hAnsi="Arial" w:cs="Arial"/>
          <w:sz w:val="18"/>
        </w:rPr>
        <w:t>30</w:t>
      </w:r>
    </w:p>
    <w:p w:rsidR="00795EEF" w:rsidRPr="00B2496F" w:rsidRDefault="00795EEF" w:rsidP="008B5041">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Figure </w:t>
      </w:r>
      <w:r>
        <w:rPr>
          <w:rFonts w:ascii="Arial" w:hAnsi="Arial" w:cs="Arial"/>
          <w:b/>
          <w:sz w:val="18"/>
        </w:rPr>
        <w:t>8</w:t>
      </w:r>
      <w:r w:rsidRPr="00B2496F">
        <w:rPr>
          <w:rFonts w:ascii="Arial" w:hAnsi="Arial" w:cs="Arial"/>
          <w:b/>
          <w:sz w:val="18"/>
        </w:rPr>
        <w:t>:</w:t>
      </w:r>
      <w:r w:rsidRPr="00B2496F">
        <w:rPr>
          <w:rFonts w:ascii="Arial" w:hAnsi="Arial" w:cs="Arial"/>
          <w:sz w:val="18"/>
        </w:rPr>
        <w:tab/>
      </w:r>
      <w:r w:rsidRPr="00795EEF">
        <w:rPr>
          <w:rFonts w:ascii="Arial" w:hAnsi="Arial" w:cs="Arial"/>
          <w:sz w:val="18"/>
        </w:rPr>
        <w:t>Risk charts of 5-year risk in all four risk regions</w:t>
      </w:r>
      <w:r w:rsidRPr="00B2496F">
        <w:rPr>
          <w:rFonts w:ascii="Arial" w:hAnsi="Arial" w:cs="Arial"/>
          <w:sz w:val="18"/>
        </w:rPr>
        <w:tab/>
      </w:r>
      <w:r w:rsidR="00355CD1">
        <w:rPr>
          <w:rFonts w:ascii="Arial" w:hAnsi="Arial" w:cs="Arial"/>
          <w:sz w:val="18"/>
        </w:rPr>
        <w:t>31</w:t>
      </w:r>
    </w:p>
    <w:p w:rsidR="00841F8D" w:rsidRPr="00B2496F" w:rsidRDefault="00795EEF" w:rsidP="00841F8D">
      <w:pPr>
        <w:tabs>
          <w:tab w:val="left" w:pos="2366"/>
          <w:tab w:val="left" w:pos="8931"/>
        </w:tabs>
        <w:spacing w:after="0" w:line="480" w:lineRule="auto"/>
        <w:rPr>
          <w:rFonts w:ascii="Arial" w:hAnsi="Arial" w:cs="Arial"/>
          <w:sz w:val="18"/>
        </w:rPr>
      </w:pPr>
      <w:r>
        <w:rPr>
          <w:rFonts w:ascii="Arial" w:hAnsi="Arial" w:cs="Arial"/>
          <w:b/>
          <w:sz w:val="18"/>
        </w:rPr>
        <w:t>Supplementary Figure 9</w:t>
      </w:r>
      <w:r w:rsidR="00841F8D" w:rsidRPr="00B2496F">
        <w:rPr>
          <w:rFonts w:ascii="Arial" w:hAnsi="Arial" w:cs="Arial"/>
          <w:b/>
          <w:sz w:val="18"/>
        </w:rPr>
        <w:t>:</w:t>
      </w:r>
      <w:r w:rsidR="00841F8D" w:rsidRPr="00B2496F">
        <w:rPr>
          <w:rFonts w:ascii="Arial" w:hAnsi="Arial" w:cs="Arial"/>
          <w:b/>
          <w:sz w:val="18"/>
        </w:rPr>
        <w:tab/>
      </w:r>
      <w:r w:rsidR="00841F8D" w:rsidRPr="00B2496F">
        <w:rPr>
          <w:rFonts w:ascii="Arial" w:hAnsi="Arial" w:cs="Arial"/>
          <w:sz w:val="18"/>
        </w:rPr>
        <w:t>SCORE2-OP predicted risks for given risk factors in all European</w:t>
      </w:r>
      <w:r w:rsidR="002825F3" w:rsidRPr="00B2496F">
        <w:rPr>
          <w:rFonts w:ascii="Arial" w:hAnsi="Arial" w:cs="Arial"/>
          <w:sz w:val="18"/>
        </w:rPr>
        <w:t xml:space="preserve"> regions</w:t>
      </w:r>
      <w:r w:rsidR="002825F3" w:rsidRPr="00B2496F">
        <w:rPr>
          <w:rFonts w:ascii="Arial" w:hAnsi="Arial" w:cs="Arial"/>
          <w:sz w:val="18"/>
        </w:rPr>
        <w:tab/>
      </w:r>
      <w:r w:rsidR="00355CD1">
        <w:rPr>
          <w:rFonts w:ascii="Arial" w:hAnsi="Arial" w:cs="Arial"/>
          <w:sz w:val="18"/>
        </w:rPr>
        <w:t>35</w:t>
      </w:r>
    </w:p>
    <w:p w:rsidR="00A06952" w:rsidRPr="00B2496F" w:rsidRDefault="00A06952" w:rsidP="00A06952">
      <w:pPr>
        <w:tabs>
          <w:tab w:val="left" w:pos="2366"/>
          <w:tab w:val="left" w:pos="8931"/>
        </w:tabs>
        <w:spacing w:after="0" w:line="480" w:lineRule="auto"/>
        <w:rPr>
          <w:rFonts w:ascii="Arial" w:hAnsi="Arial" w:cs="Arial"/>
          <w:sz w:val="18"/>
        </w:rPr>
      </w:pPr>
      <w:r w:rsidRPr="00B2496F">
        <w:rPr>
          <w:rFonts w:ascii="Arial" w:hAnsi="Arial" w:cs="Arial"/>
          <w:b/>
          <w:sz w:val="18"/>
        </w:rPr>
        <w:t xml:space="preserve">Supplementary Figure </w:t>
      </w:r>
      <w:r w:rsidR="00795EEF">
        <w:rPr>
          <w:rFonts w:ascii="Arial" w:hAnsi="Arial" w:cs="Arial"/>
          <w:b/>
          <w:sz w:val="18"/>
        </w:rPr>
        <w:t>10</w:t>
      </w:r>
      <w:r w:rsidRPr="00B2496F">
        <w:rPr>
          <w:rFonts w:ascii="Arial" w:hAnsi="Arial" w:cs="Arial"/>
          <w:b/>
          <w:sz w:val="18"/>
        </w:rPr>
        <w:t>:</w:t>
      </w:r>
      <w:r w:rsidRPr="00B2496F">
        <w:rPr>
          <w:rFonts w:ascii="Arial" w:hAnsi="Arial" w:cs="Arial"/>
          <w:sz w:val="18"/>
        </w:rPr>
        <w:t xml:space="preserve"> </w:t>
      </w:r>
      <w:r w:rsidRPr="00B2496F">
        <w:rPr>
          <w:rFonts w:ascii="Arial" w:hAnsi="Arial" w:cs="Arial"/>
          <w:sz w:val="18"/>
        </w:rPr>
        <w:tab/>
        <w:t>Risk charts of 10 year risk in all risk regions with uncertainty bounds</w:t>
      </w:r>
      <w:r w:rsidRPr="00B2496F">
        <w:rPr>
          <w:rFonts w:ascii="Arial" w:hAnsi="Arial" w:cs="Arial"/>
          <w:sz w:val="18"/>
        </w:rPr>
        <w:tab/>
        <w:t>3</w:t>
      </w:r>
      <w:r w:rsidR="00355CD1">
        <w:rPr>
          <w:rFonts w:ascii="Arial" w:hAnsi="Arial" w:cs="Arial"/>
          <w:sz w:val="18"/>
        </w:rPr>
        <w:t>6</w:t>
      </w:r>
    </w:p>
    <w:p w:rsidR="001A3C40" w:rsidRPr="00B2496F" w:rsidRDefault="00C711C0" w:rsidP="00C711C0">
      <w:pPr>
        <w:tabs>
          <w:tab w:val="left" w:pos="2366"/>
          <w:tab w:val="left" w:pos="8931"/>
        </w:tabs>
        <w:spacing w:after="0" w:line="480" w:lineRule="auto"/>
        <w:rPr>
          <w:rFonts w:ascii="Arial" w:hAnsi="Arial" w:cs="Arial"/>
          <w:sz w:val="18"/>
          <w:szCs w:val="18"/>
        </w:rPr>
      </w:pPr>
      <w:r w:rsidRPr="00B2496F">
        <w:rPr>
          <w:rFonts w:ascii="Arial" w:hAnsi="Arial" w:cs="Arial"/>
          <w:b/>
          <w:sz w:val="18"/>
          <w:szCs w:val="18"/>
        </w:rPr>
        <w:t xml:space="preserve">References used in </w:t>
      </w:r>
      <w:r w:rsidR="00CC7DDD" w:rsidRPr="00B2496F">
        <w:rPr>
          <w:rFonts w:ascii="Arial" w:hAnsi="Arial" w:cs="Arial"/>
          <w:b/>
          <w:sz w:val="18"/>
          <w:szCs w:val="18"/>
        </w:rPr>
        <w:t>S</w:t>
      </w:r>
      <w:r w:rsidRPr="00B2496F">
        <w:rPr>
          <w:rFonts w:ascii="Arial" w:hAnsi="Arial" w:cs="Arial"/>
          <w:b/>
          <w:sz w:val="18"/>
          <w:szCs w:val="18"/>
        </w:rPr>
        <w:t xml:space="preserve">upplementary </w:t>
      </w:r>
      <w:r w:rsidR="00CC7DDD" w:rsidRPr="00B2496F">
        <w:rPr>
          <w:rFonts w:ascii="Arial" w:hAnsi="Arial" w:cs="Arial"/>
          <w:b/>
          <w:sz w:val="18"/>
          <w:szCs w:val="18"/>
        </w:rPr>
        <w:t>M</w:t>
      </w:r>
      <w:r w:rsidRPr="00B2496F">
        <w:rPr>
          <w:rFonts w:ascii="Arial" w:hAnsi="Arial" w:cs="Arial"/>
          <w:b/>
          <w:sz w:val="18"/>
          <w:szCs w:val="18"/>
        </w:rPr>
        <w:t>aterial</w:t>
      </w:r>
      <w:r w:rsidRPr="00B2496F">
        <w:rPr>
          <w:rFonts w:ascii="Arial" w:hAnsi="Arial" w:cs="Arial"/>
          <w:b/>
          <w:sz w:val="18"/>
          <w:szCs w:val="18"/>
        </w:rPr>
        <w:tab/>
      </w:r>
      <w:r w:rsidR="00355CD1">
        <w:rPr>
          <w:rFonts w:ascii="Arial" w:hAnsi="Arial" w:cs="Arial"/>
          <w:sz w:val="18"/>
          <w:szCs w:val="18"/>
        </w:rPr>
        <w:t>40</w:t>
      </w:r>
    </w:p>
    <w:p w:rsidR="00C5352E" w:rsidRPr="00B2496F" w:rsidRDefault="00C5352E" w:rsidP="00C711C0">
      <w:pPr>
        <w:tabs>
          <w:tab w:val="left" w:pos="2366"/>
          <w:tab w:val="left" w:pos="8931"/>
        </w:tabs>
        <w:spacing w:after="0" w:line="480" w:lineRule="auto"/>
        <w:rPr>
          <w:rFonts w:ascii="Arial" w:hAnsi="Arial" w:cs="Arial"/>
          <w:b/>
          <w:sz w:val="18"/>
        </w:rPr>
      </w:pPr>
      <w:r w:rsidRPr="00B2496F">
        <w:rPr>
          <w:rFonts w:ascii="Arial" w:hAnsi="Arial" w:cs="Arial"/>
          <w:b/>
          <w:sz w:val="18"/>
          <w:szCs w:val="18"/>
        </w:rPr>
        <w:br w:type="page"/>
      </w:r>
    </w:p>
    <w:p w:rsidR="008544D5" w:rsidRPr="00B2496F" w:rsidRDefault="008544D5" w:rsidP="001401F8">
      <w:pPr>
        <w:pStyle w:val="aParagraafkop"/>
      </w:pPr>
      <w:r w:rsidRPr="00B2496F">
        <w:lastRenderedPageBreak/>
        <w:t>Supplementary Methods</w:t>
      </w:r>
      <w:r w:rsidR="00C26AF6" w:rsidRPr="00B2496F">
        <w:t xml:space="preserve"> </w:t>
      </w:r>
    </w:p>
    <w:p w:rsidR="008544D5" w:rsidRPr="00B2496F" w:rsidRDefault="008544D5" w:rsidP="00225592">
      <w:pPr>
        <w:pStyle w:val="dGewonetekst"/>
      </w:pPr>
    </w:p>
    <w:p w:rsidR="00DB04DE" w:rsidRPr="00B2496F" w:rsidRDefault="008544D5" w:rsidP="001401F8">
      <w:pPr>
        <w:pStyle w:val="bSubkop"/>
      </w:pPr>
      <w:r w:rsidRPr="00B2496F">
        <w:t xml:space="preserve">1.1 </w:t>
      </w:r>
      <w:r w:rsidR="001A3C40" w:rsidRPr="00B2496F">
        <w:t>Model d</w:t>
      </w:r>
      <w:r w:rsidRPr="00B2496F">
        <w:t xml:space="preserve">erivation </w:t>
      </w:r>
      <w:r w:rsidR="001521CF" w:rsidRPr="00B2496F">
        <w:t xml:space="preserve">study </w:t>
      </w:r>
      <w:r w:rsidRPr="00B2496F">
        <w:t>population</w:t>
      </w:r>
    </w:p>
    <w:p w:rsidR="00C26AF6" w:rsidRPr="00B2496F" w:rsidRDefault="00C26AF6" w:rsidP="00C26AF6">
      <w:pPr>
        <w:spacing w:after="0" w:line="480" w:lineRule="auto"/>
        <w:jc w:val="both"/>
        <w:rPr>
          <w:rFonts w:ascii="Arial" w:hAnsi="Arial" w:cs="Arial"/>
          <w:sz w:val="20"/>
        </w:rPr>
      </w:pPr>
      <w:r w:rsidRPr="00B2496F">
        <w:rPr>
          <w:rFonts w:ascii="Arial" w:hAnsi="Arial" w:cs="Arial"/>
          <w:sz w:val="20"/>
        </w:rPr>
        <w:t xml:space="preserve">Cohort of Norway (CONOR) is a collaboration between several population based regional health surveys in Norway carried out between 1994 and 2003. The data collection followed a standard procedure. Participants underwent a simple physical examination and a non-fasting blood sample was drawn at the screening site. Participants filled in one or more questionnaires about their health and disease, family history of disease, use of medication and lifestyle </w:t>
      </w:r>
      <w:r w:rsidRPr="00B2496F">
        <w:rPr>
          <w:rFonts w:ascii="Arial" w:hAnsi="Arial" w:cs="Arial"/>
          <w:sz w:val="20"/>
        </w:rPr>
        <w:fldChar w:fldCharType="begin" w:fldLock="1"/>
      </w:r>
      <w:r w:rsidR="00365CB9" w:rsidRPr="00B2496F">
        <w:rPr>
          <w:rFonts w:ascii="Arial" w:hAnsi="Arial" w:cs="Arial"/>
          <w:sz w:val="20"/>
        </w:rPr>
        <w:instrText>ADDIN CSL_CITATION {"citationItems":[{"id":"ITEM-1","itemData":{"DOI":"10.1093/ije/dym217","ISSN":"1464-3685 (Electronic)","PMID":"17984119","author":[{"dropping-particle":"","family":"Naess","given":"Oyvind","non-dropping-particle":"","parse-names":false,"suffix":""},{"dropping-particle":"","family":"Søgaard","given":"Anne Johanne","non-dropping-particle":"","parse-names":false,"suffix":""},{"dropping-particle":"","family":"Arnesen","given":"Egil","non-dropping-particle":"","parse-names":false,"suffix":""},{"dropping-particle":"","family":"Beckstrøm","given":"Anne Cathrine","non-dropping-particle":"","parse-names":false,"suffix":""},{"dropping-particle":"","family":"Bjertness","given":"Espen","non-dropping-particle":"","parse-names":false,"suffix":""},{"dropping-particle":"","family":"Engeland","given":"Anders","non-dropping-particle":"","parse-names":false,"suffix":""},{"dropping-particle":"","family":"Hjort","given":"Peter F","non-dropping-particle":"","parse-names":false,"suffix":""},{"dropping-particle":"","family":"Holmen","given":"Jostein","non-dropping-particle":"","parse-names":false,"suffix":""},{"dropping-particle":"","family":"Magnus","given":"Per","non-dropping-particle":"","parse-names":false,"suffix":""},{"dropping-particle":"","family":"Njølstad","given":"Inger","non-dropping-particle":"","parse-names":false,"suffix":""},{"dropping-particle":"","family":"Tell","given":"Grethe S","non-dropping-particle":"","parse-names":false,"suffix":""},{"dropping-particle":"","family":"Vatten","given":"Lars","non-dropping-particle":"","parse-names":false,"suffix":""},{"dropping-particle":"","family":"Vollset","given":"Stein Emil","non-dropping-particle":"","parse-names":false,"suffix":""},{"dropping-particle":"","family":"Aamodt","given":"Geir","non-dropping-particle":"","parse-names":false,"suffix":""}],"container-title":"International journal of epidemiology","id":"ITEM-1","issue":"3","issued":{"date-parts":[["2008","6"]]},"language":"eng","page":"481-485","title":"Cohort profile: cohort of Norway (CONOR).","type":"article-journal","volume":"37"},"uris":["http://www.mendeley.com/documents/?uuid=20da12da-745e-423f-bb52-921b74ad36b4"]}],"mendeley":{"formattedCitation":"&lt;sup&gt;1&lt;/sup&gt;","plainTextFormattedCitation":"1","previouslyFormattedCitation":"(1)"},"properties":{"noteIndex":0},"schema":"https://github.com/citation-style-language/schema/raw/master/csl-citation.json"}</w:instrText>
      </w:r>
      <w:r w:rsidRPr="00B2496F">
        <w:rPr>
          <w:rFonts w:ascii="Arial" w:hAnsi="Arial" w:cs="Arial"/>
          <w:sz w:val="20"/>
        </w:rPr>
        <w:fldChar w:fldCharType="separate"/>
      </w:r>
      <w:r w:rsidR="00365CB9" w:rsidRPr="00B2496F">
        <w:rPr>
          <w:rFonts w:ascii="Arial" w:hAnsi="Arial" w:cs="Arial"/>
          <w:noProof/>
          <w:sz w:val="20"/>
          <w:vertAlign w:val="superscript"/>
        </w:rPr>
        <w:t>1</w:t>
      </w:r>
      <w:r w:rsidRPr="00B2496F">
        <w:rPr>
          <w:rFonts w:ascii="Arial" w:hAnsi="Arial" w:cs="Arial"/>
          <w:sz w:val="20"/>
        </w:rPr>
        <w:fldChar w:fldCharType="end"/>
      </w:r>
      <w:r w:rsidRPr="00B2496F">
        <w:rPr>
          <w:rFonts w:ascii="Arial" w:hAnsi="Arial" w:cs="Arial"/>
          <w:sz w:val="20"/>
        </w:rPr>
        <w:t xml:space="preserve">. </w:t>
      </w:r>
    </w:p>
    <w:p w:rsidR="00C26AF6" w:rsidRPr="00B2496F" w:rsidRDefault="00C26AF6" w:rsidP="00C26AF6">
      <w:pPr>
        <w:spacing w:after="0" w:line="480" w:lineRule="auto"/>
        <w:jc w:val="both"/>
        <w:rPr>
          <w:rFonts w:ascii="Arial" w:hAnsi="Arial" w:cs="Arial"/>
          <w:sz w:val="20"/>
        </w:rPr>
      </w:pPr>
      <w:r w:rsidRPr="00B2496F">
        <w:rPr>
          <w:rFonts w:ascii="Arial" w:hAnsi="Arial" w:cs="Arial"/>
          <w:sz w:val="20"/>
        </w:rPr>
        <w:t xml:space="preserve">Cardiovascular endpoints were obtained through the CVDNOR project (CVDNOR) project (https://cvdnor.b.uib.no) </w:t>
      </w:r>
      <w:r w:rsidRPr="00B2496F">
        <w:rPr>
          <w:rFonts w:ascii="Arial" w:hAnsi="Arial" w:cs="Arial"/>
          <w:sz w:val="20"/>
        </w:rPr>
        <w:fldChar w:fldCharType="begin" w:fldLock="1"/>
      </w:r>
      <w:r w:rsidR="00365CB9" w:rsidRPr="00B2496F">
        <w:rPr>
          <w:rFonts w:ascii="Arial" w:hAnsi="Arial" w:cs="Arial"/>
          <w:sz w:val="20"/>
        </w:rPr>
        <w:instrText>ADDIN CSL_CITATION {"citationItems":[{"id":"ITEM-1","itemData":{"author":[{"dropping-particle":"","family":"Igland","given":"J","non-dropping-particle":"","parse-names":false,"suffix":""},{"dropping-particle":"","family":"Tell","given":"GS","non-dropping-particle":"","parse-names":false,"suffix":""},{"dropping-particle":"","family":"Ebbing","given":"M","non-dropping-particle":"","parse-names":false,"suffix":""},{"dropping-particle":"","family":"Nygard","given":"Ottar","non-dropping-particle":"","parse-names":false,"suffix":""},{"dropping-particle":"","family":"Vollset","given":"Stein Emil","non-dropping-particle":"","parse-names":false,"suffix":""},{"dropping-particle":"","family":"Dimoski","given":"Tomislav","non-dropping-particle":"","parse-names":false,"suffix":""}],"id":"ITEM-1","issued":{"date-parts":[["2013"]]},"publisher":"Norway: University of Bergen","title":"CVDNOR data and quality report: the CVDNOR project: cardiovascular disease in Norway 1994–2009. Description of data and data quality.","type":"article"},"uris":["http://www.mendeley.com/documents/?uuid=7bfae6e9-2b3b-42a8-9773-3bf516f8ad46","http://www.mendeley.com/documents/?uuid=9e83e9e4-1ee5-423e-be22-ffbd51379054"]},{"id":"ITEM-2","itemData":{"author":[{"dropping-particle":"","family":"Sulo","given":"G","non-dropping-particle":"","parse-names":false,"suffix":""},{"dropping-particle":"","family":"Igland","given":"Jannicke","non-dropping-particle":"","parse-names":false,"suffix":""},{"dropping-particle":"","family":"Vollset","given":"Stein Emil","non-dropping-particle":"","parse-names":false,"suffix":""},{"dropping-particle":"","family":"Nygard","given":"Ottar","non-dropping-particle":"","parse-names":false,"suffix":""},{"dropping-particle":"","family":"Øyen","given":"N","non-dropping-particle":"","parse-names":false,"suffix":""},{"dropping-particle":"","family":"Tell","given":"GS","non-dropping-particle":"","parse-names":false,"suffix":""}],"container-title":"Norwegian Journal of Epidemiology","id":"ITEM-2","issue":"101-107","issued":{"date-parts":[["2013"]]},"title":"Cardiovascular disease and diabetes mellitus in Norway during 1994–2009: CVDNOR – a nationwide research project.","type":"article-journal","volume":"23"},"uris":["http://www.mendeley.com/documents/?uuid=6523ae4e-be5e-4b26-97ce-1485bc31f5f3","http://www.mendeley.com/documents/?uuid=79f1fe26-e887-48c3-a178-85a0debddb24"]}],"mendeley":{"formattedCitation":"&lt;sup&gt;2,3&lt;/sup&gt;","plainTextFormattedCitation":"2,3","previouslyFormattedCitation":"(2,3)"},"properties":{"noteIndex":0},"schema":"https://github.com/citation-style-language/schema/raw/master/csl-citation.json"}</w:instrText>
      </w:r>
      <w:r w:rsidRPr="00B2496F">
        <w:rPr>
          <w:rFonts w:ascii="Arial" w:hAnsi="Arial" w:cs="Arial"/>
          <w:sz w:val="20"/>
        </w:rPr>
        <w:fldChar w:fldCharType="separate"/>
      </w:r>
      <w:r w:rsidR="00365CB9" w:rsidRPr="00B2496F">
        <w:rPr>
          <w:rFonts w:ascii="Arial" w:hAnsi="Arial" w:cs="Arial"/>
          <w:noProof/>
          <w:sz w:val="20"/>
          <w:vertAlign w:val="superscript"/>
        </w:rPr>
        <w:t>2,3</w:t>
      </w:r>
      <w:r w:rsidRPr="00B2496F">
        <w:rPr>
          <w:rFonts w:ascii="Arial" w:hAnsi="Arial" w:cs="Arial"/>
          <w:sz w:val="20"/>
        </w:rPr>
        <w:fldChar w:fldCharType="end"/>
      </w:r>
      <w:r w:rsidRPr="00B2496F">
        <w:rPr>
          <w:rFonts w:ascii="Arial" w:hAnsi="Arial" w:cs="Arial"/>
          <w:sz w:val="20"/>
        </w:rPr>
        <w:t xml:space="preserve">. </w:t>
      </w:r>
      <w:r w:rsidR="005F2F22" w:rsidRPr="00B2496F">
        <w:rPr>
          <w:rFonts w:ascii="Arial" w:hAnsi="Arial" w:cs="Arial"/>
          <w:sz w:val="20"/>
        </w:rPr>
        <w:t>The CVDNOR project is a collaboration between the University of Bergen and the previous Norwegian Knowledge Centre for the Health Services, now part of the Norwegian Institute of Public Health</w:t>
      </w:r>
      <w:r w:rsidRPr="00B2496F">
        <w:rPr>
          <w:rFonts w:ascii="Arial" w:hAnsi="Arial" w:cs="Arial"/>
          <w:sz w:val="20"/>
        </w:rPr>
        <w:t>. CVDNOR includes information from cardiovascular-related discharge diagnosis [International Classification of Disease (ICD)-9 codes 390-459 or ICD-10 codes I00-I99)]  retrieved from the electronic patient administrative systems (PAS) of all Norwegian hospitals from 1994 through 2009. The project obtained date and cause of death from the Cause of Death Registry and information about hospital stays 2008-2014 from the Norwegian Patient Registry</w:t>
      </w:r>
      <w:r w:rsidR="000A5F6B" w:rsidRPr="00B2496F">
        <w:rPr>
          <w:rFonts w:ascii="Arial" w:hAnsi="Arial" w:cs="Arial"/>
          <w:sz w:val="20"/>
        </w:rPr>
        <w:t>.</w:t>
      </w:r>
      <w:r w:rsidR="00E272EB" w:rsidRPr="00B2496F">
        <w:rPr>
          <w:rFonts w:ascii="Arial" w:hAnsi="Arial" w:cs="Arial"/>
          <w:sz w:val="20"/>
        </w:rPr>
        <w:t xml:space="preserve"> CONOR was linked to the endpoint registries by means of the personal identification number unique for each resident in Norway and this leads to high level of complete outcome r</w:t>
      </w:r>
      <w:r w:rsidR="00E272EB" w:rsidRPr="00B2496F">
        <w:rPr>
          <w:rStyle w:val="dGewonetekstChar"/>
        </w:rPr>
        <w:t>egistrat</w:t>
      </w:r>
      <w:r w:rsidR="00E272EB" w:rsidRPr="00B2496F">
        <w:rPr>
          <w:rFonts w:ascii="Arial" w:hAnsi="Arial" w:cs="Arial"/>
          <w:sz w:val="20"/>
        </w:rPr>
        <w:t xml:space="preserve">ion of both fatal and non-fatal events </w:t>
      </w:r>
      <w:r w:rsidR="00E272EB" w:rsidRPr="00B2496F">
        <w:rPr>
          <w:rFonts w:ascii="Arial" w:hAnsi="Arial" w:cs="Arial"/>
          <w:sz w:val="20"/>
        </w:rPr>
        <w:fldChar w:fldCharType="begin" w:fldLock="1"/>
      </w:r>
      <w:r w:rsidR="00365CB9" w:rsidRPr="00B2496F">
        <w:rPr>
          <w:rFonts w:ascii="Arial" w:hAnsi="Arial" w:cs="Arial"/>
          <w:sz w:val="20"/>
        </w:rPr>
        <w:instrText>ADDIN CSL_CITATION {"citationItems":[{"id":"ITEM-1","itemData":{"DOI":"10.1177/1403494818803256","ISSN":"1403-4948","PMID":"30269654","abstract":"Aims: Health registers are used for administrative purposes, disease surveillance, quality assessment, and research. The value of the registers is entirely dependent on the quality of their data. The aim of this study was to investigate and compare the completeness and correctness of the acute myocardial infarction (AMI) diagnosis in the Norwegian Myocardial Infarction Register and in the Norwegian Patient Register. Methods: All Norwegian patients admitted directly to St Olavs hospital, Trondheim University Hospital, Trondheim University Hospital from 1 July to 31 December 2012 and who had plasma levels of cardiac troponin T measured during their hospitalization ( n=4835 unique individuals, n=5882 hospitalizations) were identified in the hospital biochemical database. A gold standard for AMI was established by evaluation of maximum troponin T levels and by review of the information in the medical records. Cases of AMI in the registers were classified as true positive, false positive, true negative, and false negative according to the gold standard. We calculated sensitivity, positive predictive value (PPV), specificity, and negative predictive value (NPV). Results: The Norwegian Myocardial Infarction Register had a sensitivity of 86.0% (95% confidence interval (CI) 82.8–89.3%), PPV of 97.9% (96.4–99.3%), and specificity of 99.9% and NPV of 98.9% (98.6-99.2%) (99.8–100%). The corresponding figures for the Norwegian Patient Register were 85.8% (95% CI 82.5–89.1%), 95.1% (92.9–97.2%), and 99.7% (99.5–99.8%) and 98.9% (98.6-99.2%), respectively. Both registers had a sensitivity higher than 95% when compared to hospital discharge diagnoses. The results were similar for men and women and for cases below and above 80 years of age. Conclusions: The Norwegian Myocardial Infarction Register and the Norwegian Patient Register are adequately complete and correct for administrative purposes, disease surveillance, quality assessment, and research.","author":[{"dropping-particle":"","family":"Govatsmark","given":"Ragna Elise Støre","non-dropping-particle":"","parse-names":false,"suffix":""},{"dropping-particle":"","family":"Janszky","given":"Imre","non-dropping-particle":"","parse-names":false,"suffix":""},{"dropping-particle":"","family":"Slørdahl","given":"Stig Arild","non-dropping-particle":"","parse-names":false,"suffix":""},{"dropping-particle":"","family":"Ebbing","given":"Marta","non-dropping-particle":"","parse-names":false,"suffix":""},{"dropping-particle":"","family":"Wiseth","given":"Rune","non-dropping-particle":"","parse-names":false,"suffix":""},{"dropping-particle":"","family":"Grenne","given":"Bjørnar","non-dropping-particle":"","parse-names":false,"suffix":""},{"dropping-particle":"","family":"Vesterbekkmo","given":"Elisabeth","non-dropping-particle":"","parse-names":false,"suffix":""},{"dropping-particle":"","family":"Bønaa","given":"Kaare Harald","non-dropping-particle":"","parse-names":false,"suffix":""}],"container-title":"Scandinavian Journal of Public Health","id":"ITEM-1","issue":"1","issued":{"date-parts":[["2020","2"]]},"page":"5-13","title":"Completeness and correctness of acute myocardial infarction diagnoses in a medical quality register and an administrative health register","type":"article-journal","volume":"48"},"uris":["http://www.mendeley.com/documents/?uuid=a34dfd18-c505-4673-8f39-e406f25081f3","http://www.mendeley.com/documents/?uuid=aa37b255-28d0-482c-88e2-5b42a97dc4f0"]},{"id":"ITEM-2","itemData":{"DOI":"10.1002/brb3.900","ISSN":"21623279","PMID":"29484261","abstract":"Objectives: Administrative health registries need to have accurate diagnoses and sufficient coverage in the population they serve in order to be useful in research. In this study, we investigated the proportion of discharge diagnoses of intracranial hemorrhage (ICH) that were coded correctly in the Norwegian Patient Registry (NPR). Materials and Methods: We reviewed the electronic medical records and diagnostic imaging of all admissions to St. Olavs University Hospital, Trondheim, Norway, between January 1, 2008, to December 31, 2014, with a discharge diagnosis of ICH in the NPR, and estimated positive predictive values (PPVs) for primary and secondary diagnoses. Separate calculations were made for inpatient and outpatient admissions. Results: In total, 1,419 patients with 1,458 discharge diagnoses of ICH were included in our study. Overall, 1,333 (91.4%) discharge diagnoses were coded correctly. For inpatient admissions, the PPVs for primary discharge codes were 96.9% for hemorrhagic stroke, 95.3% for subarachnoid hemorrhage, and 97.9% for subdural hemorrhage. The most common cause of incorrect diagnosis was previous stroke that should have been coded as rehabilitation or sequela after stroke. There were more false-positive diagnoses among outpatient consultations and secondary diagnoses. Conclusion: Coding of ICH discharge diagnoses in the NPR is of high quality, showing that data from this registry can safely be used for medical research.","author":[{"dropping-particle":"","family":"Øie","given":"Lise R.","non-dropping-particle":"","parse-names":false,"suffix":""},{"dropping-particle":"","family":"Madsbu","given":"Mattis A.","non-dropping-particle":"","parse-names":false,"suffix":""},{"dropping-particle":"","family":"Giannadakis","given":"Charalampis","non-dropping-particle":"","parse-names":false,"suffix":""},{"dropping-particle":"","family":"Vorhaug","given":"Anders","non-dropping-particle":"","parse-names":false,"suffix":""},{"dropping-particle":"","family":"Jensberg","given":"Heidi","non-dropping-particle":"","parse-names":false,"suffix":""},{"dropping-particle":"","family":"Salvesen","given":"Øyvind","non-dropping-particle":"","parse-names":false,"suffix":""},{"dropping-particle":"","family":"Gulati","given":"Sasha","non-dropping-particle":"","parse-names":false,"suffix":""}],"container-title":"Brain and Behavior","id":"ITEM-2","issue":"2","issued":{"date-parts":[["2018","2"]]},"page":"e00900","title":"Validation of intracranial hemorrhage in the Norwegian Patient Registry","type":"article-journal","volume":"8"},"uris":["http://www.mendeley.com/documents/?uuid=649b3855-3bf6-494a-a0a7-b4af40d8110f","http://www.mendeley.com/documents/?uuid=71f70a26-a89c-40b9-b5b6-fb3761947333"]}],"mendeley":{"formattedCitation":"&lt;sup&gt;4,5&lt;/sup&gt;","plainTextFormattedCitation":"4,5","previouslyFormattedCitation":"(4,5)"},"properties":{"noteIndex":0},"schema":"https://github.com/citation-style-language/schema/raw/master/csl-citation.json"}</w:instrText>
      </w:r>
      <w:r w:rsidR="00E272EB" w:rsidRPr="00B2496F">
        <w:rPr>
          <w:rFonts w:ascii="Arial" w:hAnsi="Arial" w:cs="Arial"/>
          <w:sz w:val="20"/>
        </w:rPr>
        <w:fldChar w:fldCharType="separate"/>
      </w:r>
      <w:r w:rsidR="00365CB9" w:rsidRPr="00B2496F">
        <w:rPr>
          <w:rFonts w:ascii="Arial" w:hAnsi="Arial" w:cs="Arial"/>
          <w:noProof/>
          <w:sz w:val="20"/>
          <w:vertAlign w:val="superscript"/>
        </w:rPr>
        <w:t>4,5</w:t>
      </w:r>
      <w:r w:rsidR="00E272EB" w:rsidRPr="00B2496F">
        <w:rPr>
          <w:rFonts w:ascii="Arial" w:hAnsi="Arial" w:cs="Arial"/>
          <w:sz w:val="20"/>
        </w:rPr>
        <w:fldChar w:fldCharType="end"/>
      </w:r>
      <w:r w:rsidR="00E272EB" w:rsidRPr="00B2496F">
        <w:rPr>
          <w:rFonts w:ascii="Arial" w:hAnsi="Arial" w:cs="Arial"/>
          <w:sz w:val="20"/>
        </w:rPr>
        <w:t>.</w:t>
      </w:r>
      <w:r w:rsidR="00E272EB" w:rsidRPr="00B2496F" w:rsidDel="00E272EB">
        <w:rPr>
          <w:rFonts w:ascii="Arial" w:hAnsi="Arial" w:cs="Arial"/>
          <w:sz w:val="20"/>
        </w:rPr>
        <w:t xml:space="preserve"> </w:t>
      </w:r>
    </w:p>
    <w:p w:rsidR="00C26AF6" w:rsidRPr="00B2496F" w:rsidRDefault="00C26AF6" w:rsidP="00C26AF6">
      <w:pPr>
        <w:spacing w:after="0" w:line="480" w:lineRule="auto"/>
        <w:jc w:val="both"/>
        <w:rPr>
          <w:rFonts w:ascii="Arial" w:hAnsi="Arial" w:cs="Arial"/>
          <w:sz w:val="20"/>
        </w:rPr>
      </w:pPr>
      <w:r w:rsidRPr="00B2496F">
        <w:rPr>
          <w:rFonts w:ascii="Arial" w:hAnsi="Arial" w:cs="Arial"/>
          <w:sz w:val="20"/>
        </w:rPr>
        <w:t xml:space="preserve">The </w:t>
      </w:r>
      <w:r w:rsidR="005F2F22" w:rsidRPr="00B2496F">
        <w:rPr>
          <w:rFonts w:ascii="Arial" w:hAnsi="Arial" w:cs="Arial"/>
          <w:sz w:val="20"/>
        </w:rPr>
        <w:t>R</w:t>
      </w:r>
      <w:r w:rsidRPr="00B2496F">
        <w:rPr>
          <w:rFonts w:ascii="Arial" w:hAnsi="Arial" w:cs="Arial"/>
          <w:sz w:val="20"/>
        </w:rPr>
        <w:t xml:space="preserve">egional </w:t>
      </w:r>
      <w:r w:rsidR="005F2F22" w:rsidRPr="00B2496F">
        <w:rPr>
          <w:rFonts w:ascii="Arial" w:hAnsi="Arial" w:cs="Arial"/>
          <w:sz w:val="20"/>
        </w:rPr>
        <w:t>E</w:t>
      </w:r>
      <w:r w:rsidRPr="00B2496F">
        <w:rPr>
          <w:rFonts w:ascii="Arial" w:hAnsi="Arial" w:cs="Arial"/>
          <w:sz w:val="20"/>
        </w:rPr>
        <w:t xml:space="preserve">thics </w:t>
      </w:r>
      <w:r w:rsidR="005F2F22" w:rsidRPr="00B2496F">
        <w:rPr>
          <w:rFonts w:ascii="Arial" w:hAnsi="Arial" w:cs="Arial"/>
          <w:sz w:val="20"/>
        </w:rPr>
        <w:t>C</w:t>
      </w:r>
      <w:r w:rsidRPr="00B2496F">
        <w:rPr>
          <w:rFonts w:ascii="Arial" w:hAnsi="Arial" w:cs="Arial"/>
          <w:sz w:val="20"/>
        </w:rPr>
        <w:t>ommittee approved the baseline health surveys and follow-up record linkages. The participants have signed a written informed consent for research and linkage of health registries.</w:t>
      </w:r>
    </w:p>
    <w:p w:rsidR="00C26AF6" w:rsidRPr="00B2496F" w:rsidRDefault="00C26AF6" w:rsidP="00C26AF6">
      <w:pPr>
        <w:spacing w:after="0" w:line="480" w:lineRule="auto"/>
        <w:jc w:val="both"/>
        <w:rPr>
          <w:rFonts w:ascii="Arial" w:hAnsi="Arial" w:cs="Arial"/>
          <w:sz w:val="20"/>
        </w:rPr>
      </w:pPr>
    </w:p>
    <w:p w:rsidR="001401F8" w:rsidRPr="00B2496F" w:rsidRDefault="00C26AF6" w:rsidP="00C26AF6">
      <w:pPr>
        <w:spacing w:after="0" w:line="480" w:lineRule="auto"/>
        <w:jc w:val="both"/>
        <w:rPr>
          <w:rFonts w:ascii="Arial" w:hAnsi="Arial" w:cs="Arial"/>
          <w:sz w:val="20"/>
        </w:rPr>
      </w:pPr>
      <w:r w:rsidRPr="00B2496F">
        <w:rPr>
          <w:rFonts w:ascii="Arial" w:hAnsi="Arial" w:cs="Arial"/>
          <w:sz w:val="20"/>
        </w:rPr>
        <w:t xml:space="preserve">Selmer </w:t>
      </w:r>
      <w:r w:rsidRPr="00B2496F">
        <w:rPr>
          <w:rFonts w:ascii="Arial" w:hAnsi="Arial" w:cs="Arial"/>
          <w:i/>
          <w:sz w:val="20"/>
        </w:rPr>
        <w:t>et al.</w:t>
      </w:r>
      <w:r w:rsidRPr="00B2496F">
        <w:rPr>
          <w:rFonts w:ascii="Arial" w:hAnsi="Arial" w:cs="Arial"/>
          <w:sz w:val="20"/>
        </w:rPr>
        <w:t xml:space="preserve"> have previously used the linked CONOR data in the development of a Norwegian cardiovascular risk model (NORRISK2) which is included in the Norwegian guidelines for prevention of cardiovascular disease </w:t>
      </w:r>
      <w:r w:rsidRPr="00B2496F">
        <w:rPr>
          <w:rFonts w:ascii="Arial" w:hAnsi="Arial" w:cs="Arial"/>
          <w:sz w:val="20"/>
        </w:rPr>
        <w:fldChar w:fldCharType="begin" w:fldLock="1"/>
      </w:r>
      <w:r w:rsidR="00365CB9" w:rsidRPr="00B2496F">
        <w:rPr>
          <w:rFonts w:ascii="Arial" w:hAnsi="Arial" w:cs="Arial"/>
          <w:sz w:val="20"/>
        </w:rPr>
        <w:instrText>ADDIN CSL_CITATION {"citationItems":[{"id":"ITEM-1","itemData":{"DOI":"10.1177/2047487317693949","ISSN":"2047-4881 (Electronic)","PMID":"28206819","abstract":"Background Guidelines for the prevention of cardiovascular disease recommend the estimation of an individual's total risk. We have developed a new model for the prediction of the 10-year risk of incident acute myocardial infarction or cerebral stroke based on Norwegian data, NORRISK 2. Design The model was based on 10-year follow-up of a large population-based cohort (CONOR) through linkage to the CVDNOR project, a database of cardiovascular disease hospital discharge diagnoses and mortality in Norway in 1994-2009. Methods We used the Fine and Gray regression model to estimate the 10-year risk adjusting for competing risk. The model population consisted of participants in 1994-1999 and the external validation population of participants in 2000-2003. We validated the model by area under the receiver operating characteristic curves, calibration plots and analyses of sensitivity and specificity. Results The model population consisted of 31,445 men and 35,267 women aged 40-79 years with 3658 endpoints in men and 2459 in women. The external validation population consisted of 19,980 men and 19,309 women, of whom 1858 men and 874 women had an endpoint during follow-up. The area under the curve was 0.79 (0.79-0.80) in men and 0.84 (0.83-0.85) in women in the model population and was slightly lower in the external validation population. Calibration plots showed good agreement between observed and predicted risk. The sum of sensitivity and specificity was greatest around the suggested risk thresholds. Conclusion The NORRISK 2 model showed good validity in an external dataset and will be a valuable tool to guide decisions about preventive interventions in people without known previous cardiovascular disease.","author":[{"dropping-particle":"","family":"Selmer","given":"Randi","non-dropping-particle":"","parse-names":false,"suffix":""},{"dropping-particle":"","family":"Igland","given":"Jannicke","non-dropping-particle":"","parse-names":false,"suffix":""},{"dropping-particle":"","family":"Ariansen","given":"Inger","non-dropping-particle":"","parse-names":false,"suffix":""},{"dropping-particle":"","family":"Tverdal","given":"Aage","non-dropping-particle":"","parse-names":false,"suffix":""},{"dropping-particle":"","family":"Njølstad","given":"Inger","non-dropping-particle":"","parse-names":false,"suffix":""},{"dropping-particle":"","family":"Furu","given":"Kari","non-dropping-particle":"","parse-names":false,"suffix":""},{"dropping-particle":"","family":"Tell","given":"Grethe S","non-dropping-particle":"","parse-names":false,"suffix":""},{"dropping-particle":"","family":"Klemsdal","given":"Tor Ole","non-dropping-particle":"","parse-names":false,"suffix":""}],"container-title":"European journal of preventive cardiology","id":"ITEM-1","issue":"7","issued":{"date-parts":[["2017","5"]]},"language":"eng","page":"773-782","title":"NORRISK 2: A Norwegian risk model for acute cerebral stroke and myocardial infarction.","type":"article-journal","volume":"24"},"uris":["http://www.mendeley.com/documents/?uuid=b6e49686-f784-4a2c-a304-16e1215adee5","http://www.mendeley.com/documents/?uuid=a3cdd57d-9d7d-49a2-9780-27bbdd65430f"]}],"mendeley":{"formattedCitation":"&lt;sup&gt;6&lt;/sup&gt;","plainTextFormattedCitation":"6","previouslyFormattedCitation":"(6)"},"properties":{"noteIndex":0},"schema":"https://github.com/citation-style-language/schema/raw/master/csl-citation.json"}</w:instrText>
      </w:r>
      <w:r w:rsidRPr="00B2496F">
        <w:rPr>
          <w:rFonts w:ascii="Arial" w:hAnsi="Arial" w:cs="Arial"/>
          <w:sz w:val="20"/>
        </w:rPr>
        <w:fldChar w:fldCharType="separate"/>
      </w:r>
      <w:r w:rsidR="00365CB9" w:rsidRPr="00B2496F">
        <w:rPr>
          <w:rFonts w:ascii="Arial" w:hAnsi="Arial" w:cs="Arial"/>
          <w:noProof/>
          <w:sz w:val="20"/>
          <w:vertAlign w:val="superscript"/>
        </w:rPr>
        <w:t>6</w:t>
      </w:r>
      <w:r w:rsidRPr="00B2496F">
        <w:rPr>
          <w:rFonts w:ascii="Arial" w:hAnsi="Arial" w:cs="Arial"/>
          <w:sz w:val="20"/>
        </w:rPr>
        <w:fldChar w:fldCharType="end"/>
      </w:r>
      <w:r w:rsidRPr="00B2496F">
        <w:rPr>
          <w:rFonts w:ascii="Arial" w:hAnsi="Arial" w:cs="Arial"/>
          <w:sz w:val="20"/>
        </w:rPr>
        <w:t xml:space="preserve">. Furthermore, the CONOR study has previously been used for model derivation for SCORE O.P., using only the fatal CVD endpoint </w:t>
      </w:r>
      <w:r w:rsidRPr="00B2496F">
        <w:rPr>
          <w:rFonts w:ascii="Arial" w:hAnsi="Arial" w:cs="Arial"/>
          <w:sz w:val="20"/>
        </w:rPr>
        <w:fldChar w:fldCharType="begin" w:fldLock="1"/>
      </w:r>
      <w:r w:rsidR="00365CB9" w:rsidRPr="00B2496F">
        <w:rPr>
          <w:rFonts w:ascii="Arial" w:hAnsi="Arial" w:cs="Arial"/>
          <w:sz w:val="20"/>
        </w:rPr>
        <w:instrText>ADDIN CSL_CITATION {"citationItems":[{"id":"ITEM-1","itemData":{"DOI":"10.1177/2047487315588390","ISSN":"2047-4881 (Electronic)","PMID":"26040999","abstract":"AIMS: Estimation of cardiovascular disease risk, using SCORE (Systematic COronary Risk Evaluation) is recommended by European guidelines on cardiovascular disease prevention. Risk estimation is inaccurate in older people. We hypothesized that this may be due to the assumption, inherent in current risk estimation systems, that risk factors function similarly in all age groups. We aimed to derive and validate a risk estimation function, SCORE O.P., solely from data from individuals aged 65 years and older. METHODS AND RESULTS: 20,704 men and 20,121 women, aged 65 and over and without pre-existing coronary disease, from four representative, prospective studies of the general population were included. These were Italian, Belgian and Danish studies (from original SCORE dataset) and the CONOR (Cohort of Norway) study. The variables which remained statistically significant in Cox proportional hazards model and were included in the SCORE O.P. model were: age, total cholesterol, high-density lipoprotein cholesterol, systolic blood pressure, smoking status and diabetes. SCORE O.P. showed good discrimination; area under receiver operator characteristic curve (AUROC) 0.74 (95% confidence interval: 0.73 to 0.75). Calibration was also reasonable, Hosmer-Lemeshow goodness of fit test: 17.16 (men), 22.70 (women). Compared with the original SCORE function extrapolated to the &gt;/=65 years age group discrimination improved, p = 0.05 (men), p &lt; 0.001 (women). Simple risk charts were constructed. On simulated external validation, performed using 10-fold cross validation, AUROC was 0.74 and predicted/observed ratio was 1.02. CONCLUSION: SCORE O.P. provides improved accuracy in risk estimation in older people and may reduce excessive use of medication in this vulnerable population.","author":[{"dropping-particle":"","family":"Cooney","given":"Marie Therese","non-dropping-particle":"","parse-names":false,"suffix":""},{"dropping-particle":"","family":"Selmer","given":"Randi","non-dropping-particle":"","parse-names":false,"suffix":""},{"dropping-particle":"","family":"Lindman","given":"Anja","non-dropping-particle":"","parse-names":false,"suffix":""},{"dropping-particle":"","family":"Tverdal","given":"Aage","non-dropping-particle":"","parse-names":false,"suffix":""},{"dropping-particle":"","family":"Menotti","given":"Alessandro","non-dropping-particle":"","parse-names":false,"suffix":""},{"dropping-particle":"","family":"Thomsen","given":"Troels","non-dropping-particle":"","parse-names":false,"suffix":""},{"dropping-particle":"","family":"DeBacker","given":"Guy","non-dropping-particle":"","parse-names":false,"suffix":""},{"dropping-particle":"","family":"Bacquer","given":"Dirk","non-dropping-particle":"De","parse-names":false,"suffix":""},{"dropping-particle":"","family":"Tell","given":"Grethe S","non-dropping-particle":"","parse-names":false,"suffix":""},{"dropping-particle":"","family":"Njolstad","given":"Inger","non-dropping-particle":"","parse-names":false,"suffix":""},{"dropping-particle":"","family":"Graham","given":"Ian M","non-dropping-particle":"","parse-names":false,"suffix":""}],"container-title":"European journal of preventive cardiology","id":"ITEM-1","issue":"10","issued":{"date-parts":[["2016","7"]]},"language":"eng","page":"1093-1103","title":"Cardiovascular risk estimation in older persons: SCORE O.P.","type":"article-journal","volume":"23"},"uris":["http://www.mendeley.com/documents/?uuid=09ef1004-933a-4264-b0ea-efc4d41e1ce0"]}],"mendeley":{"formattedCitation":"&lt;sup&gt;7&lt;/sup&gt;","plainTextFormattedCitation":"7","previouslyFormattedCitation":"(7)"},"properties":{"noteIndex":0},"schema":"https://github.com/citation-style-language/schema/raw/master/csl-citation.json"}</w:instrText>
      </w:r>
      <w:r w:rsidRPr="00B2496F">
        <w:rPr>
          <w:rFonts w:ascii="Arial" w:hAnsi="Arial" w:cs="Arial"/>
          <w:sz w:val="20"/>
        </w:rPr>
        <w:fldChar w:fldCharType="separate"/>
      </w:r>
      <w:r w:rsidR="00365CB9" w:rsidRPr="00B2496F">
        <w:rPr>
          <w:rFonts w:ascii="Arial" w:hAnsi="Arial" w:cs="Arial"/>
          <w:noProof/>
          <w:sz w:val="20"/>
          <w:vertAlign w:val="superscript"/>
        </w:rPr>
        <w:t>7</w:t>
      </w:r>
      <w:r w:rsidRPr="00B2496F">
        <w:rPr>
          <w:rFonts w:ascii="Arial" w:hAnsi="Arial" w:cs="Arial"/>
          <w:sz w:val="20"/>
        </w:rPr>
        <w:fldChar w:fldCharType="end"/>
      </w:r>
      <w:r w:rsidRPr="00B2496F">
        <w:rPr>
          <w:rFonts w:ascii="Arial" w:hAnsi="Arial" w:cs="Arial"/>
          <w:sz w:val="20"/>
        </w:rPr>
        <w:t>.</w:t>
      </w:r>
    </w:p>
    <w:p w:rsidR="001401F8" w:rsidRPr="00B2496F" w:rsidRDefault="001401F8">
      <w:pPr>
        <w:spacing w:after="160" w:line="259" w:lineRule="auto"/>
        <w:rPr>
          <w:rFonts w:ascii="Arial" w:hAnsi="Arial" w:cs="Arial"/>
          <w:sz w:val="20"/>
        </w:rPr>
      </w:pPr>
      <w:r w:rsidRPr="00B2496F">
        <w:rPr>
          <w:rFonts w:ascii="Arial" w:hAnsi="Arial" w:cs="Arial"/>
          <w:sz w:val="20"/>
        </w:rPr>
        <w:br w:type="page"/>
      </w:r>
    </w:p>
    <w:p w:rsidR="008544D5" w:rsidRPr="00B2496F" w:rsidRDefault="001401F8" w:rsidP="001401F8">
      <w:pPr>
        <w:pStyle w:val="bSubkop"/>
      </w:pPr>
      <w:r w:rsidRPr="00B2496F">
        <w:lastRenderedPageBreak/>
        <w:t>1.2 External validation study populations</w:t>
      </w:r>
    </w:p>
    <w:p w:rsidR="001401F8" w:rsidRPr="00B2496F" w:rsidRDefault="001401F8" w:rsidP="003B2F2B">
      <w:pPr>
        <w:pStyle w:val="cSubkop2"/>
      </w:pPr>
      <w:r w:rsidRPr="00B2496F">
        <w:t>ARIC</w:t>
      </w:r>
    </w:p>
    <w:p w:rsidR="001521CF" w:rsidRPr="00B2496F" w:rsidRDefault="00771890" w:rsidP="001521CF">
      <w:pPr>
        <w:pStyle w:val="dGewonetekst"/>
      </w:pPr>
      <w:r w:rsidRPr="00B2496F">
        <w:t>This study is a cross-sectional analysis, using data from visit 6 (2016–2017) of the ARIC study, which was originally designed to investigate the natural history of atherosclerotic disease from mid- to late-life. 15,792 participants were recruited during 1987–1989 from four communities in the United States (Forsyth County, NC; Jackson, MS; Minneapolis, MN; and Washington County, MD) and completed the first study visit (visit 1). The participants subsequently completed six study visits (visit 2 in 1990–1992, visit 3 in 1993–1995, visit 4 in 1996–1998, visit 5 in 2011–2013, visit 6 in 2016–2017, and visit 7 in 2018–19). Additionally, they were contacted annually (semiannually, beginning in 2012) to obtain updated information on medical history and lifestyle. For the current study, baseline data collected at visit 5 were used, including assessment for cardiovascular disease and risk factors incl</w:t>
      </w:r>
      <w:r w:rsidR="00893819" w:rsidRPr="00B2496F">
        <w:t>uding</w:t>
      </w:r>
      <w:r w:rsidRPr="00B2496F">
        <w:t xml:space="preserve"> </w:t>
      </w:r>
      <w:r w:rsidR="00893819" w:rsidRPr="00B2496F">
        <w:t>laboratory testing</w:t>
      </w:r>
      <w:r w:rsidRPr="00B2496F">
        <w:t xml:space="preserve">. The ARIC study was approved by the institutional review board of each participating center, and written informed consent was obtained from participants at each study visit. Further details on ARIC study design have been described elsewhere </w:t>
      </w:r>
      <w:r w:rsidRPr="00B2496F">
        <w:fldChar w:fldCharType="begin" w:fldLock="1"/>
      </w:r>
      <w:r w:rsidR="00365CB9" w:rsidRPr="00B2496F">
        <w:instrText>ADDIN CSL_CITATION {"citationItems":[{"id":"ITEM-1","itemData":{"ISSN":"0002-9262 (Print)","PMID":"2646917","abstract":"Atherosclerosis Risk in Communities (ARIC) is a new prospective study to investigate the etiology of atherosclerosis and its clinical sequelae and variation in cardiovascular risk factors, medical care, and disease by race, sex, place, and time. In each of four US communities--Forsyth County, North Carolina, Jackson, Mississippi, suburbs of Minneapolis, Minnesota, and Washington County, Maryland--4,000 adults aged 45-64 years will be examined twice, three years apart. ARIC has coordinating, ultrasound, pulmonary, and electrocardiographic centers and three central laboratories. Three cohorts represent the ethnic mix of their communities; the Jackson cohort, its black population. Examinations include ultrasound scanning of carotid and popliteal arteries; lipids, lipoproteins, and apolipoproteins assayed in the Lipid Laboratory; and coagulation, inhibition, and platelet and fibrinolytic activity assayed in the Hemostasis Laboratory. Surveillance for coronary heart disease will involve review of hospitalizations and deaths among community residents aged 35-74 years. ARIC aims to study atherosclerosis by direct observation of the disease and by use of modern biochemistry.","author":[{"dropping-particle":"","family":"The ARIC investigators.","given":"","non-dropping-particle":"","parse-names":false,"suffix":""}],"container-title":"American journal of epidemiology","id":"ITEM-1","issue":"4","issued":{"date-parts":[["1989"]]},"language":"eng","page":"687-702","title":"The Atherosclerosis Risk in Communities (ARIC) Study: design and objectives.","type":"article-journal","volume":"129"},"uris":["http://www.mendeley.com/documents/?uuid=721ef096-05bf-4cc0-9ca7-040e77ad0a69","http://www.mendeley.com/documents/?uuid=761b5500-38c4-4542-b407-ec24fc56e05f"]}],"mendeley":{"formattedCitation":"&lt;sup&gt;8&lt;/sup&gt;","plainTextFormattedCitation":"8","previouslyFormattedCitation":"(8)"},"properties":{"noteIndex":0},"schema":"https://github.com/citation-style-language/schema/raw/master/csl-citation.json"}</w:instrText>
      </w:r>
      <w:r w:rsidRPr="00B2496F">
        <w:fldChar w:fldCharType="separate"/>
      </w:r>
      <w:r w:rsidR="00365CB9" w:rsidRPr="00B2496F">
        <w:rPr>
          <w:noProof/>
          <w:vertAlign w:val="superscript"/>
        </w:rPr>
        <w:t>8</w:t>
      </w:r>
      <w:r w:rsidRPr="00B2496F">
        <w:fldChar w:fldCharType="end"/>
      </w:r>
      <w:r w:rsidRPr="00B2496F">
        <w:t>.</w:t>
      </w:r>
    </w:p>
    <w:p w:rsidR="00771890" w:rsidRPr="00B2496F" w:rsidRDefault="00771890" w:rsidP="001521CF">
      <w:pPr>
        <w:pStyle w:val="dGewonetekst"/>
      </w:pPr>
    </w:p>
    <w:p w:rsidR="00771890" w:rsidRPr="00B2496F" w:rsidRDefault="00771890" w:rsidP="003B2F2B">
      <w:pPr>
        <w:pStyle w:val="cSubkop2"/>
      </w:pPr>
      <w:r w:rsidRPr="00B2496F">
        <w:t>CPRD</w:t>
      </w:r>
    </w:p>
    <w:p w:rsidR="00771890" w:rsidRPr="00B2496F" w:rsidRDefault="002C2585" w:rsidP="001521CF">
      <w:pPr>
        <w:pStyle w:val="dGewonetekst"/>
      </w:pPr>
      <w:r w:rsidRPr="00B2496F">
        <w:t>We used data from the UK Clinical Practice Research Datalink (CPRD) that were linked to Hospital Episode Statistics (HES) inpatient data, and Office for National Statistics (ONS) mortality data. The CPRD database prospectively</w:t>
      </w:r>
      <w:r w:rsidR="00771890" w:rsidRPr="00B2496F">
        <w:t xml:space="preserve"> collects </w:t>
      </w:r>
      <w:r w:rsidRPr="00B2496F">
        <w:t>primary care records from consenting general practitioners</w:t>
      </w:r>
      <w:r w:rsidR="00771890" w:rsidRPr="00B2496F">
        <w:t xml:space="preserve"> across the UK. </w:t>
      </w:r>
      <w:r w:rsidRPr="00B2496F">
        <w:t xml:space="preserve">Approximately 7% of the UK population are represented in the database. </w:t>
      </w:r>
      <w:r w:rsidR="00771890" w:rsidRPr="00B2496F">
        <w:t xml:space="preserve">CPRD obtained approval from a national research ethics committee for researchers to use deidentified data for observational research subject to the approval of a study protocol from the Independent Scientific Advisory Committee. </w:t>
      </w:r>
      <w:r w:rsidRPr="00B2496F">
        <w:t>Approximately 80% of CPRD practices registered in England have consented to their patients’ primary care records being linked to other data sources. HES records include all National Health Service–funded inpatient hospitalizations in England since 1997, including diagnoses and procedures. ONS-linked mortality data contain the underlying cause of death, recorded on the death certificate, along with up to 15 other recorded causes of death</w:t>
      </w:r>
      <w:r w:rsidR="00771890" w:rsidRPr="00B2496F">
        <w:t xml:space="preserve">. The data requested for this study covers the period </w:t>
      </w:r>
      <w:r w:rsidRPr="00B2496F">
        <w:t>2006</w:t>
      </w:r>
      <w:r w:rsidR="00771890" w:rsidRPr="00B2496F">
        <w:t xml:space="preserve"> to 201</w:t>
      </w:r>
      <w:r w:rsidRPr="00B2496F">
        <w:t>7</w:t>
      </w:r>
      <w:r w:rsidR="00771890" w:rsidRPr="00B2496F">
        <w:t xml:space="preserve"> and participants could be enrolled in the study at any time between these years.</w:t>
      </w:r>
      <w:r w:rsidRPr="00B2496F">
        <w:t xml:space="preserve"> Further details on CPRD study design have been described elsewhere </w:t>
      </w:r>
      <w:r w:rsidRPr="00B2496F">
        <w:fldChar w:fldCharType="begin" w:fldLock="1"/>
      </w:r>
      <w:r w:rsidR="00365CB9" w:rsidRPr="00B2496F">
        <w:instrText>ADDIN CSL_CITATION {"citationItems":[{"id":"ITEM-1","itemData":{"DOI":"10.1093/ije/dyv098","ISSN":"14643685","abstract":"© The Author 2015. Published by Oxford University Press on behalf of the International Epidemiological Association.The Clinical Practice Research Datalink (CPRD) is an ongoing primary care database of anonymised medical records from general practitioners, with coverage of over 11.3 million patients from 674 practices in the UK. With 4.4 million active (alive, currently registered) patients meeting quality criteria, approximately 6.9% of the UK population are included and patients are broadly representative of the UK general population in terms of age, sex and ethnicity. General practitioners are the gatekeepers of primary care and specialist referrals in the UK. The CPRD primary care database is therefore a rich source of health data for research, including data on demographics, symptoms, tests, diagnoses, therapies, health-related behaviours and referrals to secondary care. For over half of patients, linkage with datasets from secondary care, disease-specific cohorts and mortality records enhance the range of data available for research. The CPRD is very widely used internationally for epidemiological research and has been used to produce over 1000 research studies, published in peer-reviewed journals across a broad range of health outcomes. However, researchers must be aware of the complexity of routinely collected electronic health records, including ways to manage variable completeness, misclassification and development of disease definitions for research.","author":[{"dropping-particle":"","family":"Herrett","given":"Emily","non-dropping-particle":"","parse-names":false,"suffix":""},{"dropping-particle":"","family":"Gallagher","given":"Arlene M.","non-dropping-particle":"","parse-names":false,"suffix":""},{"dropping-particle":"","family":"Bhaskaran","given":"Krishnan","non-dropping-particle":"","parse-names":false,"suffix":""},{"dropping-particle":"","family":"Forbes","given":"Harriet","non-dropping-particle":"","parse-names":false,"suffix":""},{"dropping-particle":"","family":"Mathur","given":"Rohini","non-dropping-particle":"","parse-names":false,"suffix":""},{"dropping-particle":"van","family":"Staa","given":"Tjeerd","non-dropping-particle":"","parse-names":false,"suffix":""},{"dropping-particle":"","family":"Smeeth","given":"Liam","non-dropping-particle":"","parse-names":false,"suffix":""}],"container-title":"International Journal of Epidemiology","id":"ITEM-1","issue":"3","issued":{"date-parts":[["2015","6"]]},"page":"827-836","title":"Data Resource Profile: Clinical Practice Research Datalink (CPRD)","type":"article-journal","volume":"44"},"uris":["http://www.mendeley.com/documents/?uuid=9c8f398c-0447-40b9-89a2-616962326d5e"]}],"mendeley":{"formattedCitation":"&lt;sup&gt;9&lt;/sup&gt;","plainTextFormattedCitation":"9","previouslyFormattedCitation":"(9)"},"properties":{"noteIndex":0},"schema":"https://github.com/citation-style-language/schema/raw/master/csl-citation.json"}</w:instrText>
      </w:r>
      <w:r w:rsidRPr="00B2496F">
        <w:fldChar w:fldCharType="separate"/>
      </w:r>
      <w:r w:rsidR="00365CB9" w:rsidRPr="00B2496F">
        <w:rPr>
          <w:noProof/>
          <w:vertAlign w:val="superscript"/>
        </w:rPr>
        <w:t>9</w:t>
      </w:r>
      <w:r w:rsidRPr="00B2496F">
        <w:fldChar w:fldCharType="end"/>
      </w:r>
      <w:r w:rsidRPr="00B2496F">
        <w:t>.</w:t>
      </w:r>
    </w:p>
    <w:p w:rsidR="00AF6FD1" w:rsidRPr="00B2496F" w:rsidRDefault="00AF6FD1" w:rsidP="001521CF">
      <w:pPr>
        <w:pStyle w:val="dGewonetekst"/>
      </w:pPr>
    </w:p>
    <w:p w:rsidR="00AF6FD1" w:rsidRPr="00B2496F" w:rsidRDefault="00AF6FD1" w:rsidP="003B2F2B">
      <w:pPr>
        <w:pStyle w:val="cSubkop2"/>
      </w:pPr>
      <w:r w:rsidRPr="00B2496F">
        <w:lastRenderedPageBreak/>
        <w:t>HYVET</w:t>
      </w:r>
    </w:p>
    <w:p w:rsidR="00AF6FD1" w:rsidRPr="00B2496F" w:rsidRDefault="00AF6FD1" w:rsidP="00AF6FD1">
      <w:pPr>
        <w:pStyle w:val="dGewonetekst"/>
      </w:pPr>
      <w:r w:rsidRPr="00B2496F">
        <w:t>HYVET</w:t>
      </w:r>
      <w:r w:rsidR="00A51E82" w:rsidRPr="00B2496F">
        <w:t xml:space="preserve"> </w:t>
      </w:r>
      <w:r w:rsidRPr="00B2496F">
        <w:t xml:space="preserve">was a double blind placebo controlled trial of an antihypertensive regimen (thiazide-like diuretic, indapamide 1.5 sustained release, with the optional addition of an angiotensin converting enzyme inhibitor, perindopril 2–4 mg) in those aged 80 and over. Participants with hypertension (mean systolic BP 160–199 mm Hg and a standing systolic BP </w:t>
      </w:r>
      <w:r w:rsidRPr="00B2496F">
        <w:rPr>
          <w:rFonts w:ascii="Segoe UI" w:hAnsi="Segoe UI" w:cs="Segoe UI"/>
        </w:rPr>
        <w:t>≥</w:t>
      </w:r>
      <w:r w:rsidRPr="00B2496F">
        <w:t>140 mm Hg) were recruited</w:t>
      </w:r>
      <w:r w:rsidR="00A51E82" w:rsidRPr="00B2496F">
        <w:t xml:space="preserve"> between February 2001 and October 2007</w:t>
      </w:r>
      <w:r w:rsidRPr="00B2496F">
        <w:t xml:space="preserve"> from over 90 primary and secondary care centres in 13 countries and randomised to receive trial treatment or matching placebo. All required ethical approvals were obtained. Participants were seen during a 2-month placebo run-in phase, at baseline, every 3 months during the first year and every 6 months thereafter. Trial endpoints were reported as they occurred and included death, stroke, myocardial infarction, and incident or worsening heart failure. Validation of trial endpoints was carried out by a trial endpoint committee of international experts blinded to trial treatment allocation and with full access to supporting documentation, for example, death certificates, hospitalization reports etc. </w:t>
      </w:r>
      <w:r w:rsidR="00A51E82" w:rsidRPr="00B2496F">
        <w:t xml:space="preserve">Median follow-up was 1.8 years, after the study was stopped preliminary at second interim analysis due to a significant reduction in all-cause mortality in the active treatment arm. </w:t>
      </w:r>
      <w:r w:rsidRPr="00B2496F">
        <w:t xml:space="preserve">Full details of the HYVET protocol have been published elsewhere </w:t>
      </w:r>
      <w:r w:rsidRPr="00B2496F">
        <w:fldChar w:fldCharType="begin" w:fldLock="1"/>
      </w:r>
      <w:r w:rsidR="00365CB9" w:rsidRPr="00B2496F">
        <w:instrText>ADDIN CSL_CITATION {"citationItems":[{"id":"ITEM-1","itemData":{"ISSN":"1170-229X (Print)","PMID":"11302283","abstract":"A number of trials and meta-analyses have demonstrated clear benefits of blood pressure (BP) reduction in patients aged &lt;80 years with regard to the reduction in stroke and cardiovascular events. However, a variety of studies have suggested that the positive relationship between BP and cardiovascular mortality is weakened or indeed reversed in the very elderly. Most intervention trials to date have either excluded or not recruited sufficient patients aged &gt; or =80 years to determine whether there is a significant benefit from treatment in this age group. A meta-analysis of intervention trials that recruited patients aged &gt; or =80 years has suggested a benefit in terms of stroke reduction but has also raised the possibility of an increase in total mortality. The benefit to risk ratio therefore needs to be clearly established before recommendations can be made for treating very elderly patients with hypertension. The Hypertension in the Very Elderly Trial (HYVET) pilot recruited 1283 patients aged &gt; or =80 years and showed the feasibility of performing such a trial in this age group. It was a Prospective Randomised Open Blinded End-Points (PROBE) design but the main trial has additional pharmaceutical sponsorship to run a double-blind trial. Therefore, the main trial is a randomised, double-blind, placebo-controlled trial designed to assess the benefits of treating very elderly patients with hypertension. It compares placebo with a low dose diuretic (indapamide sustained release 1.5mg daily) and additional ACE inhibitor (perindopril) therapy if required. As in the pilot trial, the primary end-point is stroke events (fatal and non-fatal) and the trial is designed to determine whether or not a 35% difference occurs between placebo and active treatment. The main objective will be achieved with 90% power at the 1% level of significance. Secondary outcome measures will include total mortality, cardiovascular mortality, cardiac mortality, stroke mortality and skeletal fracture. 2100 patients aged &gt; or =80 years are to be recruited and followed up for an average of 5 years. Entry BP criteria after 2 months of a single-blind placebo run-in period are a sustained sitting systolic BP (SBP) of 160 to 199mm Hg and a diastolic BP of 90 to 109mm Hg. The standing SBP must be &gt;140mm Hg. The trial will be carried out in accordance with the principles of Good Clinical Practice. We describe in detail the protocol for the main trial and discuss the reasons for the changes fr…","author":[{"dropping-particle":"","family":"Bulpitt","given":"C","non-dropping-particle":"","parse-names":false,"suffix":""},{"dropping-particle":"","family":"Fletcher","given":"A","non-dropping-particle":"","parse-names":false,"suffix":""},{"dropping-particle":"","family":"Beckett","given":"N","non-dropping-particle":"","parse-names":false,"suffix":""},{"dropping-particle":"","family":"Coope","given":"J","non-dropping-particle":"","parse-names":false,"suffix":""},{"dropping-particle":"","family":"Gil-Extremera","given":"B","non-dropping-particle":"","parse-names":false,"suffix":""},{"dropping-particle":"","family":"Forette","given":"F","non-dropping-particle":"","parse-names":false,"suffix":""},{"dropping-particle":"","family":"Nachev","given":"C","non-dropping-particle":"","parse-names":false,"suffix":""},{"dropping-particle":"","family":"Potter","given":"J","non-dropping-particle":"","parse-names":false,"suffix":""},{"dropping-particle":"","family":"Sever","given":"P","non-dropping-particle":"","parse-names":false,"suffix":""},{"dropping-particle":"","family":"Staessen","given":"J","non-dropping-particle":"","parse-names":false,"suffix":""},{"dropping-particle":"","family":"Swift","given":"C","non-dropping-particle":"","parse-names":false,"suffix":""},{"dropping-particle":"","family":"Tuomilehto","given":"J","non-dropping-particle":"","parse-names":false,"suffix":""}],"container-title":"Drugs &amp; aging","id":"ITEM-1","issue":"3","issued":{"date-parts":[["2001"]]},"language":"eng","page":"151-164","title":"Hypertension in the Very Elderly Trial (HYVET): protocol for the main trial.","type":"article-journal","volume":"18"},"uris":["http://www.mendeley.com/documents/?uuid=b48e9ac7-ea72-4a5b-b653-abd41a85c9d0","http://www.mendeley.com/documents/?uuid=b2129550-6482-47c4-a76d-ff27d33d5533"]}],"mendeley":{"formattedCitation":"&lt;sup&gt;10&lt;/sup&gt;","plainTextFormattedCitation":"10","previouslyFormattedCitation":"(10)"},"properties":{"noteIndex":0},"schema":"https://github.com/citation-style-language/schema/raw/master/csl-citation.json"}</w:instrText>
      </w:r>
      <w:r w:rsidRPr="00B2496F">
        <w:fldChar w:fldCharType="separate"/>
      </w:r>
      <w:r w:rsidR="00365CB9" w:rsidRPr="00B2496F">
        <w:rPr>
          <w:noProof/>
          <w:vertAlign w:val="superscript"/>
        </w:rPr>
        <w:t>10</w:t>
      </w:r>
      <w:r w:rsidRPr="00B2496F">
        <w:fldChar w:fldCharType="end"/>
      </w:r>
      <w:r w:rsidRPr="00B2496F">
        <w:t>.</w:t>
      </w:r>
    </w:p>
    <w:p w:rsidR="001521CF" w:rsidRPr="00B2496F" w:rsidRDefault="001521CF" w:rsidP="001521CF">
      <w:pPr>
        <w:pStyle w:val="dGewonetekst"/>
      </w:pPr>
    </w:p>
    <w:p w:rsidR="001521CF" w:rsidRPr="00B2496F" w:rsidRDefault="001521CF" w:rsidP="003B2F2B">
      <w:pPr>
        <w:pStyle w:val="cSubkop2"/>
      </w:pPr>
      <w:r w:rsidRPr="00B2496F">
        <w:t>MESA</w:t>
      </w:r>
    </w:p>
    <w:p w:rsidR="001521CF" w:rsidRPr="00B2496F" w:rsidRDefault="001521CF" w:rsidP="001521CF">
      <w:pPr>
        <w:pStyle w:val="dGewonetekst"/>
      </w:pPr>
      <w:r w:rsidRPr="00B2496F">
        <w:t xml:space="preserve">MESA is a multi-ethnic, community-based, multiethnic prospective cohort study of 6,814 men and women </w:t>
      </w:r>
      <w:r w:rsidR="005A657C" w:rsidRPr="00B2496F">
        <w:t>of 4</w:t>
      </w:r>
      <w:r w:rsidRPr="00B2496F">
        <w:t xml:space="preserve"> self-identified </w:t>
      </w:r>
      <w:r w:rsidR="005A657C" w:rsidRPr="00B2496F">
        <w:t>racial/ethnic groups</w:t>
      </w:r>
      <w:r w:rsidRPr="00B2496F">
        <w:t xml:space="preserve"> </w:t>
      </w:r>
      <w:r w:rsidR="005A657C" w:rsidRPr="00B2496F">
        <w:t>(</w:t>
      </w:r>
      <w:r w:rsidRPr="00B2496F">
        <w:t>non-Hispanic whites, African American, Hispanic, or Chinese American</w:t>
      </w:r>
      <w:r w:rsidR="005A657C" w:rsidRPr="00B2496F">
        <w:t>)</w:t>
      </w:r>
      <w:r w:rsidRPr="00B2496F">
        <w:t xml:space="preserve">. MESA participants were recruited between 2000 and 2002 in 6 field centers: Wake Forest University in Winston-Salem, NC; Columbia University in New York, NY; The Johns Hopkins University in Baltimore, MD; University of Minnesota in Minneapolis; Northwestern University in Chicago, IL; and University of California in Los Angeles. </w:t>
      </w:r>
      <w:r w:rsidR="005A657C" w:rsidRPr="00B2496F">
        <w:t xml:space="preserve">The age range at baseline was 45 to 84 years, and participants had to be free of clinically overt atherosclerotic cardiovascular conditions to be eligible for inclusion. </w:t>
      </w:r>
      <w:r w:rsidRPr="00B2496F">
        <w:t xml:space="preserve">All study participants provided written informed consent at each examination, and study protocols were approved by site-specific Institutional Review Boards at respective MESA-participating institutions. Further details on the MESA study design have been described elsewhere </w:t>
      </w:r>
      <w:r w:rsidRPr="00B2496F">
        <w:fldChar w:fldCharType="begin" w:fldLock="1"/>
      </w:r>
      <w:r w:rsidR="00365CB9" w:rsidRPr="00B2496F">
        <w:instrText>ADDIN CSL_CITATION {"citationItems":[{"id":"ITEM-1","itemData":{"ISSN":"0002-9262 (Print)","PMID":"12397006","abstract":"The Multi-Ethnic Study of Atherosclerosis was initiated in July 2000 to investigate the prevalence, correlates, and progression of subclinical cardiovascular disease (CVD) in a population-based sample of 6,500 men and women aged 45-84 years. The cohort will be selected from six US field centers. Approximately 38% of the cohort will be White, 28% African-American, 23% Hispanic, and 11% Asian (of Chinese descent). Baseline measurements will include measurement of coronary calcium using computed tomography; measurement of ventricular mass and function using cardiac magnetic resonance imaging; measurement of flow-mediated brachial artery endothelial vasodilation, carotid intimal-medial wall thickness, and distensibility of the carotid arteries using ultrasonography; measurement of peripheral vascular disease using ankle and brachial blood pressures; electrocardiography; and assessments of microalbuminuria, standard CVD risk factors, sociodemographic factors, life habits, and psychosocial factors. Blood samples will be assayed for putative biochemical risk factors and stored for use in nested case-control studies. DNA will be extracted and lymphocytes will be immortalized for genetic studies. Measurement of selected subclinical disease indicators and risk factors will be repeated for the study of progression over 7 years. Participants will be followed through 2008 for identification and characterization of CVD events, including acute myocardial infarction and other coronary heart disease, stroke, peripheral vascular disease, and congestive heart failure; therapeutic interventions for CVD; and mortality.","author":[{"dropping-particle":"","family":"Bild","given":"Diane E","non-dropping-particle":"","parse-names":false,"suffix":""},{"dropping-particle":"","family":"Bluemke","given":"David A","non-dropping-particle":"","parse-names":false,"suffix":""},{"dropping-particle":"","family":"Burke","given":"Gregory L","non-dropping-particle":"","parse-names":false,"suffix":""},{"dropping-particle":"","family":"Detrano","given":"Robert","non-dropping-particle":"","parse-names":false,"suffix":""},{"dropping-particle":"V","family":"Diez Roux","given":"Ana","non-dropping-particle":"","parse-names":false,"suffix":""},{"dropping-particle":"","family":"Folsom","given":"Aaron R","non-dropping-particle":"","parse-names":false,"suffix":""},{"dropping-particle":"","family":"Greenland","given":"Philip","non-dropping-particle":"","parse-names":false,"suffix":""},{"dropping-particle":"","family":"Jacob","given":"David R Jr","non-dropping-particle":"","parse-names":false,"suffix":""},{"dropping-particle":"","family":"Kronmal","given":"Richard","non-dropping-particle":"","parse-names":false,"suffix":""},{"dropping-particle":"","family":"Liu","given":"Kiang","non-dropping-particle":"","parse-names":false,"suffix":""},{"dropping-particle":"","family":"Nelson","given":"Jennifer Clark","non-dropping-particle":"","parse-names":false,"suffix":""},{"dropping-particle":"","family":"O'Leary","given":"Daniel","non-dropping-particle":"","parse-names":false,"suffix":""},{"dropping-particle":"","family":"Saad","given":"Mohammed F","non-dropping-particle":"","parse-names":false,"suffix":""},{"dropping-particle":"","family":"Shea","given":"Steven","non-dropping-particle":"","parse-names":false,"suffix":""},{"dropping-particle":"","family":"Szklo","given":"Moyses","non-dropping-particle":"","parse-names":false,"suffix":""},{"dropping-particle":"","family":"Tracy","given":"Russell P","non-dropping-particle":"","parse-names":false,"suffix":""}],"container-title":"American journal of epidemiology","id":"ITEM-1","issue":"9","issued":{"date-parts":[["2002"]]},"language":"eng","page":"871-881","title":"Multi-Ethnic Study of Atherosclerosis: objectives and design.","type":"article-journal","volume":"156"},"uris":["http://www.mendeley.com/documents/?uuid=cd4efe5d-eda9-4b04-832f-1726a019477b","http://www.mendeley.com/documents/?uuid=7b49b066-85c4-4696-bcef-08b03f494d76"]}],"mendeley":{"formattedCitation":"&lt;sup&gt;11&lt;/sup&gt;","plainTextFormattedCitation":"11","previouslyFormattedCitation":"(11)"},"properties":{"noteIndex":0},"schema":"https://github.com/citation-style-language/schema/raw/master/csl-citation.json"}</w:instrText>
      </w:r>
      <w:r w:rsidRPr="00B2496F">
        <w:fldChar w:fldCharType="separate"/>
      </w:r>
      <w:r w:rsidR="00365CB9" w:rsidRPr="00B2496F">
        <w:rPr>
          <w:noProof/>
          <w:vertAlign w:val="superscript"/>
        </w:rPr>
        <w:t>11</w:t>
      </w:r>
      <w:r w:rsidRPr="00B2496F">
        <w:fldChar w:fldCharType="end"/>
      </w:r>
      <w:r w:rsidRPr="00B2496F">
        <w:t>.</w:t>
      </w:r>
    </w:p>
    <w:p w:rsidR="00AF6FD1" w:rsidRPr="00B2496F" w:rsidRDefault="00AF6FD1" w:rsidP="001521CF">
      <w:pPr>
        <w:pStyle w:val="dGewonetekst"/>
      </w:pPr>
    </w:p>
    <w:p w:rsidR="00AF6FD1" w:rsidRPr="00B2496F" w:rsidRDefault="00AF6FD1" w:rsidP="003B2F2B">
      <w:pPr>
        <w:pStyle w:val="cSubkop2"/>
      </w:pPr>
      <w:r w:rsidRPr="00B2496F">
        <w:lastRenderedPageBreak/>
        <w:t>PROSPER</w:t>
      </w:r>
    </w:p>
    <w:p w:rsidR="00AF6FD1" w:rsidRPr="00B2496F" w:rsidRDefault="00AF6FD1" w:rsidP="00AF6FD1">
      <w:pPr>
        <w:pStyle w:val="dGewonetekst"/>
      </w:pPr>
      <w:r w:rsidRPr="00B2496F">
        <w:t xml:space="preserve">The PROSPER trial is a large, prospective multicenter randomized clinical trial that assessed whether treatment with pravastatin diminishes the risk of major vascular events in older individuals from three countries (the Netherlands, Scotland, Ireland). Between December 1997 and May 1999, 5804 men and women aged 70–82 years were enrolled if they had pre-existing vascular disease or increased risk due to smoking, hypertension, or diabetes. Participants with the following conditions were not recruited in the PROSPER study: congestive heart failure; significant arrhythmia; cognitive impairment (Mini-Mental Score Examination score &lt;24). Included participants were randomly assigned to either pravastatin or placebo for an average 3.5-year intervention period. The full methodology of PROSPER has been described in more detail elsewhere </w:t>
      </w:r>
      <w:r w:rsidRPr="00B2496F">
        <w:fldChar w:fldCharType="begin" w:fldLock="1"/>
      </w:r>
      <w:r w:rsidR="00365CB9" w:rsidRPr="00B2496F">
        <w:instrText>ADDIN CSL_CITATION {"citationItems":[{"id":"ITEM-1","itemData":{"ISSN":"0140-6736 (Print)","PMID":"12457784","abstract":"BACKGROUND: Although statins reduce coronary and cerebrovascular morbidity and mortality in middle-aged individuals, their efficacy and safety in elderly people is not fully established. Our aim was to test the benefits of pravastatin treatment in an elderly cohort of men and women with, or at high risk of developing, cardiovascular disease and stroke. METHODS: We did a randomised controlled trial in which we assigned 5804 men (n=2804) and women (n=3000) aged 70-82 years with a history of, or risk factors for, vascular disease to pravastatin (40 mg per day; n=2891) or placebo (n=2913). Baseline cholesterol concentrations ranged from 4.0 mmol/L to 9.0 mmol/L. Follow-up was 3.2 years on average and our primary endpoint was a composite of coronary death, non-fatal myocardial infarction, and fatal or non-fatal stroke. Analysis was by intention-to-treat. FINDINGS: Pravastatin lowered LDL cholesterol concentrations by 34% and reduced the incidence of the primary endpoint to 408 events compared with 473 on placebo (hazard ratio 0.85, 95% CI 0.74-0.97, p=0.014). Coronary heart disease death and non-fatal myocardial infarction risk was also reduced (0.81, 0.69-0.94, p=0.006). Stroke risk was unaffected (1.03, 0.81-1.31, p=0.8), but the hazard ratio for transient ischaemic attack was 0.75 (0.55-1.00, p=0.051). New cancer diagnoses were more frequent on pravastatin than on placebo (1.25, 1.04-1.51, p=0.020). However, incorporation of this finding in a meta-analysis of all pravastatin and all statin trials showed no overall increase in risk. Mortality from coronary disease fell by 24% (p=0.043) in the pravastatin group. Pravastatin had no significant effect on cognitive function or disability. INTERPRETATION: Pravastatin given for 3 years reduced the risk of coronary disease in elderly individuals. PROSPER therefore extends to elderly individuals the treatment strategy currently used in middle aged people.","author":[{"dropping-particle":"","family":"Shepherd","given":"James","non-dropping-particle":"","parse-names":false,"suffix":""},{"dropping-particle":"","family":"Blauw","given":"Gerard J","non-dropping-particle":"","parse-names":false,"suffix":""},{"dropping-particle":"","family":"Murphy","given":"Michael B","non-dropping-particle":"","parse-names":false,"suffix":""},{"dropping-particle":"","family":"Bollen","given":"Edward L E M","non-dropping-particle":"","parse-names":false,"suffix":""},{"dropping-particle":"","family":"Buckley","given":"Brendan M","non-dropping-particle":"","parse-names":false,"suffix":""},{"dropping-particle":"","family":"Cobbe","given":"Stuart M","non-dropping-particle":"","parse-names":false,"suffix":""},{"dropping-particle":"","family":"Ford","given":"Ian","non-dropping-particle":"","parse-names":false,"suffix":""},{"dropping-particle":"","family":"Gaw","given":"Allan","non-dropping-particle":"","parse-names":false,"suffix":""},{"dropping-particle":"","family":"Hyland","given":"Michael","non-dropping-particle":"","parse-names":false,"suffix":""},{"dropping-particle":"","family":"Jukema","given":"J Wouter","non-dropping-particle":"","parse-names":false,"suffix":""},{"dropping-particle":"","family":"Kamper","given":"Adriaan M","non-dropping-particle":"","parse-names":false,"suffix":""},{"dropping-particle":"","family":"Macfarlane","given":"Peter W","non-dropping-particle":"","parse-names":false,"suffix":""},{"dropping-particle":"","family":"Meinders","given":"A Edo","non-dropping-particle":"","parse-names":false,"suffix":""},{"dropping-particle":"","family":"Norrie","given":"John","non-dropping-particle":"","parse-names":false,"suffix":""},{"dropping-particle":"","family":"Packard","given":"Chris J","non-dropping-particle":"","parse-names":false,"suffix":""},{"dropping-particle":"","family":"Perry","given":"Ivan J","non-dropping-particle":"","parse-names":false,"suffix":""},{"dropping-particle":"","family":"Stott","given":"David J","non-dropping-particle":"","parse-names":false,"suffix":""},{"dropping-particle":"","family":"Sweeney","given":"Brian J","non-dropping-particle":"","parse-names":false,"suffix":""},{"dropping-particle":"","family":"Twomey","given":"Cillian","non-dropping-particle":"","parse-names":false,"suffix":""},{"dropping-particle":"","family":"Westendorp","given":"Rudi G J","non-dropping-particle":"","parse-names":false,"suffix":""}],"container-title":"Lancet","id":"ITEM-1","issue":"9346","issued":{"date-parts":[["2002"]]},"language":"eng","page":"1623-1630","title":"Pravastatin in elderly individuals at risk of vascular disease (PROSPER): a randomised controlled trial.","type":"article-journal","volume":"360"},"uris":["http://www.mendeley.com/documents/?uuid=c171772a-1f54-43b8-89b1-fdff447d2c41"]}],"mendeley":{"formattedCitation":"&lt;sup&gt;12&lt;/sup&gt;","plainTextFormattedCitation":"12","previouslyFormattedCitation":"(12)"},"properties":{"noteIndex":0},"schema":"https://github.com/citation-style-language/schema/raw/master/csl-citation.json"}</w:instrText>
      </w:r>
      <w:r w:rsidRPr="00B2496F">
        <w:fldChar w:fldCharType="separate"/>
      </w:r>
      <w:r w:rsidR="00365CB9" w:rsidRPr="00B2496F">
        <w:rPr>
          <w:noProof/>
          <w:vertAlign w:val="superscript"/>
        </w:rPr>
        <w:t>12</w:t>
      </w:r>
      <w:r w:rsidRPr="00B2496F">
        <w:fldChar w:fldCharType="end"/>
      </w:r>
      <w:r w:rsidRPr="00B2496F">
        <w:t>.</w:t>
      </w:r>
    </w:p>
    <w:p w:rsidR="00431CDD" w:rsidRPr="00B2496F" w:rsidRDefault="00431CDD" w:rsidP="00AF6FD1">
      <w:pPr>
        <w:pStyle w:val="dGewonetekst"/>
      </w:pPr>
    </w:p>
    <w:p w:rsidR="00431CDD" w:rsidRPr="00B2496F" w:rsidRDefault="00431CDD" w:rsidP="003B2F2B">
      <w:pPr>
        <w:pStyle w:val="cSubkop2"/>
        <w:rPr>
          <w:rStyle w:val="cSubkop2Char"/>
        </w:rPr>
      </w:pPr>
      <w:r w:rsidRPr="00B2496F">
        <w:t>SPRIN</w:t>
      </w:r>
      <w:r w:rsidRPr="00B2496F">
        <w:rPr>
          <w:rStyle w:val="cSubkop2Char"/>
        </w:rPr>
        <w:t>T</w:t>
      </w:r>
    </w:p>
    <w:p w:rsidR="004F2611" w:rsidRPr="00B2496F" w:rsidRDefault="004F2611" w:rsidP="004F2611">
      <w:pPr>
        <w:pStyle w:val="dGewonetekst"/>
      </w:pPr>
      <w:r w:rsidRPr="00B2496F">
        <w:rPr>
          <w:rStyle w:val="quizsection"/>
        </w:rPr>
        <w:t xml:space="preserve">The design, eligibility, and baseline characteristics of SPRINT have been described elsewhere </w:t>
      </w:r>
      <w:r w:rsidRPr="00B2496F">
        <w:fldChar w:fldCharType="begin" w:fldLock="1"/>
      </w:r>
      <w:r w:rsidR="00365CB9" w:rsidRPr="00B2496F">
        <w:instrText>ADDIN CSL_CITATION {"citationItems":[{"id":"ITEM-1","itemData":{"DOI":"10.1056/NEJMoa1511939","ISSN":"0028-4793","PMID":"26551272","abstract":"BACKGROUND: The most appropriate targets for systolic blood pressure to reduce cardiovascular morbidity and mortality among persons without diabetes remain uncertain. METHODS: We randomly assigned 9361 persons with a systolic blood pressure of 130 mm Hg or higher and an increased cardiovascular risk, but without diabetes, to a systolic blood-pressure target of less than 120 mm Hg (intensive treatment) or a target of less than 140 mm Hg (standard treatment). The primary composite outcome was myocardial infarction, other acute coronary syndromes, stroke, heart failure, or death from cardiovascular causes. RESULTS: At 1 year, the mean systolic blood pressure was 121.4 mm Hg in the intensive-treatment group and 136.2 mm Hg in the standard-treatment group. The intervention was stopped early after a median follow-up of 3.26 years owing to a significantly lower rate of the primary composite outcome in the intensive-treatment group than in the standard-treatment group (1.65% per year vs. 2.19% per year; hazard ratio with intensive treatment, 0.75; 95% confidence interval [CI], 0.64 to 0.89; P&lt;0.001). All-cause mortality was also significantly lower in the intensive-treatment group (hazard ratio, 0.73; 95% CI, 0.60 to 0.90; P = 0.003). Rates of serious adverse events of hypotension, syncope, electrolyte abnormalities, and acute kidney injury or failure, but not of injurious falls, were higher in the intensive-treatment group than in the standard-treatment group. CONCLUSIONS: Among patients at high risk for cardiovascular events but without diabetes, targeting a systolic blood pressure of less than 120 mm Hg, as compared with less than 140 mm Hg, resulted in lower rates of fatal and nonfatal major cardiovascular events and death from any cause, although significantly higher rates of some adverse events were observed in the intensive-treatment group. (Funded by the National Institutes of Health; ClinicalTrials.gov number, NCT01206062.)","author":[{"dropping-particle":"","family":"SPRINT Research Group","given":"","non-dropping-particle":"","parse-names":false,"suffix":""},{"dropping-particle":"","family":"Wright","given":"JT","non-dropping-particle":"","parse-names":false,"suffix":""},{"dropping-particle":"","family":"Williamson","given":"JD","non-dropping-particle":"","parse-names":false,"suffix":""},{"dropping-particle":"","family":"Whelton","given":"PK","non-dropping-particle":"","parse-names":false,"suffix":""},{"dropping-particle":"","family":"Snyger","given":"JK","non-dropping-particle":"","parse-names":false,"suffix":""},{"dropping-particle":"","family":"Sink","given":"KM","non-dropping-particle":"","parse-names":false,"suffix":""},{"dropping-particle":"","family":"Rocco","given":"MV","non-dropping-particle":"","parse-names":false,"suffix":""},{"dropping-particle":"","family":"Reboussin","given":"DM","non-dropping-particle":"","parse-names":false,"suffix":""},{"dropping-particle":"","family":"Rahman","given":"M","non-dropping-particle":"","parse-names":false,"suffix":""},{"dropping-particle":"","family":"Oparil","given":"S","non-dropping-particle":"","parse-names":false,"suffix":""},{"dropping-particle":"","family":"Lewis","given":"CE","non-dropping-particle":"","parse-names":false,"suffix":""},{"dropping-particle":"","family":"Kimmel","given":"PL","non-dropping-particle":"","parse-names":false,"suffix":""},{"dropping-particle":"","family":"Johnson","given":"KC","non-dropping-particle":"","parse-names":false,"suffix":""},{"dropping-particle":"","family":"Goff","given":"DC Jr","non-dropping-particle":"","parse-names":false,"suffix":""},{"dropping-particle":"","family":"Fine","given":"LJ","non-dropping-particle":"","parse-names":false,"suffix":""},{"dropping-particle":"","family":"Cutler","given":"JA","non-dropping-particle":"","parse-names":false,"suffix":""},{"dropping-particle":"","family":"Cushman","given":"WC","non-dropping-particle":"","parse-names":false,"suffix":""},{"dropping-particle":"","family":"Cheung","given":"AK","non-dropping-particle":"","parse-names":false,"suffix":""},{"dropping-particle":"","family":"Ambrosius","given":"WT","non-dropping-particle":"","parse-names":false,"suffix":""}],"container-title":"New England Journal of Medicine","id":"ITEM-1","issue":"22","issued":{"date-parts":[["2015"]]},"language":"eng","page":"2103-2116","title":"A Randomized Trial of Intensive versus Standard Blood-Pressure Control","type":"article-journal","volume":"373"},"uris":["http://www.mendeley.com/documents/?uuid=a2ca1ee6-02fd-4451-afac-79bd0c4ed44f"]},{"id":"ITEM-2","itemData":{"DOI":"10.1001/jama.2016.7050","ISSN":"1538-3598 (Electronic)","PMID":"27195814","abstract":"IMPORTANCE: The appropriate treatment target for systolic blood pressure (SBP) in older patients with hypertension remains uncertain. OBJECTIVE: To evaluate the effects of intensive (&lt;120 mm Hg) compared with standard (&lt;140 mm Hg) SBP targets in persons aged 75 years or older with hypertension but without diabetes. DESIGN, SETTING, AND PARTICIPANTS: A multicenter, randomized clinical trial of patients aged 75 years or older who participated in the Systolic Blood Pressure Intervention Trial (SPRINT). Recruitment began on October 20, 2010, and follow-up ended on August 20, 2015. INTERVENTIONS: Participants were randomized to an SBP target of less than 120 mm Hg (intensive treatment group, n = 1317) or an SBP target of less than 140 mm Hg (standard treatment group, n = 1319). MAIN OUTCOMES AND MEASURES: The primary cardiovascular disease outcome was a composite of nonfatal myocardial infarction, acute coronary syndrome not resulting in a myocardial infarction, nonfatal stroke, nonfatal acute decompensated heart failure, and death from cardiovascular causes. All-cause mortality was a secondary outcome. RESULTS: Among 2636 participants (mean age, 79.9 years; 37.9% women), 2510 (95.2%) provided complete follow-up data. At a median follow-up of 3.14 years, there was a significantly lower rate of the primary composite outcome (102 events in the intensive treatment group vs 148 events in the standard treatment group; hazard ratio [HR], 0.66 [95% CI, 0.51-0.85]) and all-cause mortality (73 deaths vs 107 deaths, respectively; HR, 0.67 [95% CI, 0.49-0.91]). The overall rate of serious adverse events was not different between treatment groups (48.4% in the intensive treatment group vs 48.3% in the standard treatment group; HR, 0.99 [95% CI, 0.89-1.11]). Absolute rates of hypotension were 2.4% in the intensive treatment group vs 1.4% in the standard treatment group (HR, 1.71 [95% CI, 0.97-3.09]), 3.0% vs 2.4%, respectively, for syncope (HR, 1.23 [95% CI, 0.76-2.00]), 4.0% vs 2.7% for electrolyte abnormalities (HR, 1.51 [95% CI, 0.99-2.33]), 5.5% vs 4.0% for acute kidney injury (HR, 1.41 [95% CI, 0.98-2.04]), and 4.9% vs 5.5% for injurious falls (HR, 0.91 [95% CI, 0.65-1.29]). CONCLUSIONS AND RELEVANCE: Among ambulatory adults aged 75 years or older, treating to an SBP target of less than 120 mm Hg compared with an SBP target of less than 140 mm Hg resulted in significantly lower rates of fatal and nonfatal major cardiovascular events and death from any cause. TRIAL R…","author":[{"dropping-particle":"","family":"Williamson","given":"Jeff D","non-dropping-particle":"","parse-names":false,"suffix":""},{"dropping-particle":"","family":"Supiano","given":"Mark A","non-dropping-particle":"","parse-names":false,"suffix":""},{"dropping-particle":"","family":"Applegate","given":"William B","non-dropping-particle":"","parse-names":false,"suffix":""},{"dropping-particle":"","family":"Berlowitz","given":"Dan R","non-dropping-particle":"","parse-names":false,"suffix":""},{"dropping-particle":"","family":"Campbell","given":"Ruth C","non-dropping-particle":"","parse-names":false,"suffix":""},{"dropping-particle":"","family":"Chertow","given":"Glenn M","non-dropping-particle":"","parse-names":false,"suffix":""},{"dropping-particle":"","family":"Fine","given":"Larry J","non-dropping-particle":"","parse-names":false,"suffix":""},{"dropping-particle":"","family":"Haley","given":"William E","non-dropping-particle":"","parse-names":false,"suffix":""},{"dropping-particle":"","family":"Hawfield","given":"Amret T","non-dropping-particle":"","parse-names":false,"suffix":""},{"dropping-particle":"","family":"Ix","given":"Joachim H","non-dropping-particle":"","parse-names":false,"suffix":""},{"dropping-particle":"","family":"Kitzman","given":"Dalane W","non-dropping-particle":"","parse-names":false,"suffix":""},{"dropping-particle":"","family":"Kostis","given":"John B","non-dropping-particle":"","parse-names":false,"suffix":""},{"dropping-particle":"","family":"Krousel-Wood","given":"Marie A","non-dropping-particle":"","parse-names":false,"suffix":""},{"dropping-particle":"","family":"Launer","given":"Lenore J","non-dropping-particle":"","parse-names":false,"suffix":""},{"dropping-particle":"","family":"Oparil","given":"Suzanne","non-dropping-particle":"","parse-names":false,"suffix":""},{"dropping-particle":"","family":"Rodriguez","given":"Carlos J","non-dropping-particle":"","parse-names":false,"suffix":""},{"dropping-particle":"","family":"Roumie","given":"Christianne L","non-dropping-particle":"","parse-names":false,"suffix":""},{"dropping-particle":"","family":"Shorr","given":"Ronald I","non-dropping-particle":"","parse-names":false,"suffix":""},{"dropping-particle":"","family":"Sink","given":"Kaycee M","non-dropping-particle":"","parse-names":false,"suffix":""},{"dropping-particle":"","family":"Wadley","given":"Virginia G","non-dropping-particle":"","parse-names":false,"suffix":""},{"dropping-particle":"","family":"Whelton","given":"Paul K","non-dropping-particle":"","parse-names":false,"suffix":""},{"dropping-particle":"","family":"Whittle","given":"Jeffrey","non-dropping-particle":"","parse-names":false,"suffix":""},{"dropping-particle":"","family":"Woolard","given":"Nancy F","non-dropping-particle":"","parse-names":false,"suffix":""},{"dropping-particle":"","family":"Wright","given":"Jackson T Jr","non-dropping-particle":"","parse-names":false,"suffix":""},{"dropping-particle":"","family":"Pajewski","given":"Nicholas M","non-dropping-particle":"","parse-names":false,"suffix":""}],"container-title":"JAMA","id":"ITEM-2","issue":"24","issued":{"date-parts":[["2016"]]},"language":"eng","page":"2673-2682","title":"Intensive vs Standard Blood Pressure Control and Cardiovascular Disease Outcomes in Adults Aged &gt;/=75 Years: A Randomized Clinical Trial.","type":"article-journal","volume":"315"},"uris":["http://www.mendeley.com/documents/?uuid=4615fe3e-e126-4ae6-a1bb-9a927239b577"]}],"mendeley":{"formattedCitation":"&lt;sup&gt;13,14&lt;/sup&gt;","plainTextFormattedCitation":"13,14","previouslyFormattedCitation":"(13,14)"},"properties":{"noteIndex":0},"schema":"https://github.com/citation-style-language/schema/raw/master/csl-citation.json"}</w:instrText>
      </w:r>
      <w:r w:rsidRPr="00B2496F">
        <w:fldChar w:fldCharType="separate"/>
      </w:r>
      <w:r w:rsidR="00365CB9" w:rsidRPr="00B2496F">
        <w:rPr>
          <w:noProof/>
          <w:vertAlign w:val="superscript"/>
        </w:rPr>
        <w:t>13,14</w:t>
      </w:r>
      <w:r w:rsidRPr="00B2496F">
        <w:fldChar w:fldCharType="end"/>
      </w:r>
      <w:r w:rsidRPr="00B2496F">
        <w:rPr>
          <w:rStyle w:val="quizsection"/>
        </w:rPr>
        <w:t xml:space="preserve">. </w:t>
      </w:r>
      <w:r w:rsidRPr="00B2496F">
        <w:t xml:space="preserve">SPRINT was a randomized, controlled, open-label trial that was conducted at 102 clinical sites (organized into 5 clinical center networks) in the United States. </w:t>
      </w:r>
      <w:r w:rsidRPr="00B2496F">
        <w:rPr>
          <w:rStyle w:val="quizsection"/>
        </w:rPr>
        <w:t xml:space="preserve">The trial protocol was approved by the institutional review board at each participating site. Study participants were required to be at increased risk for cardiovascular disease. A person was excluded if he or she had type 2 diabetes, a history of stroke, symptomatic heart failure within the past 6 months or reduced left ventricular ejection fraction (&lt;35%), a clinical diagnosis of or treatment for dementia, an expected survival of less than 3 years, unintentional weight loss (&gt;10% of body weight) during the preceding 6 months, an SBP of less than 110 mm Hg following 1 minute of standing, or resided in a nursing home. </w:t>
      </w:r>
      <w:r w:rsidRPr="00B2496F">
        <w:t>Sociodemographic data were collected at baseline, whereas both clinical and laboratory data were obtained at baseline and every 3 months. Eligible participants were assigned to a systolic blood-pressure target of either less than 140 mm Hg (the standard-treatment group) or less than 120 mm Hg (the intensive-treatment group). For the current study, patients aged 65 years or older were included</w:t>
      </w:r>
      <w:r w:rsidR="00A51E82" w:rsidRPr="00B2496F">
        <w:t xml:space="preserve"> between November 2010 and March 2013</w:t>
      </w:r>
      <w:r w:rsidRPr="00B2496F">
        <w:t xml:space="preserve">. To investigate the effect of blood pressure lowering therapy in older persons, a subgroup of elderly aged 75 years or older was pre-specified in the study design and, as such, well-represented within the study population </w:t>
      </w:r>
      <w:r w:rsidRPr="00B2496F">
        <w:fldChar w:fldCharType="begin" w:fldLock="1"/>
      </w:r>
      <w:r w:rsidR="00365CB9" w:rsidRPr="00B2496F">
        <w:instrText>ADDIN CSL_CITATION {"citationItems":[{"id":"ITEM-1","itemData":{"DOI":"10.1001/jama.2016.7050","ISSN":"1538-3598 (Electronic)","PMID":"27195814","abstract":"IMPORTANCE: The appropriate treatment target for systolic blood pressure (SBP) in older patients with hypertension remains uncertain. OBJECTIVE: To evaluate the effects of intensive (&lt;120 mm Hg) compared with standard (&lt;140 mm Hg) SBP targets in persons aged 75 years or older with hypertension but without diabetes. DESIGN, SETTING, AND PARTICIPANTS: A multicenter, randomized clinical trial of patients aged 75 years or older who participated in the Systolic Blood Pressure Intervention Trial (SPRINT). Recruitment began on October 20, 2010, and follow-up ended on August 20, 2015. INTERVENTIONS: Participants were randomized to an SBP target of less than 120 mm Hg (intensive treatment group, n = 1317) or an SBP target of less than 140 mm Hg (standard treatment group, n = 1319). MAIN OUTCOMES AND MEASURES: The primary cardiovascular disease outcome was a composite of nonfatal myocardial infarction, acute coronary syndrome not resulting in a myocardial infarction, nonfatal stroke, nonfatal acute decompensated heart failure, and death from cardiovascular causes. All-cause mortality was a secondary outcome. RESULTS: Among 2636 participants (mean age, 79.9 years; 37.9% women), 2510 (95.2%) provided complete follow-up data. At a median follow-up of 3.14 years, there was a significantly lower rate of the primary composite outcome (102 events in the intensive treatment group vs 148 events in the standard treatment group; hazard ratio [HR], 0.66 [95% CI, 0.51-0.85]) and all-cause mortality (73 deaths vs 107 deaths, respectively; HR, 0.67 [95% CI, 0.49-0.91]). The overall rate of serious adverse events was not different between treatment groups (48.4% in the intensive treatment group vs 48.3% in the standard treatment group; HR, 0.99 [95% CI, 0.89-1.11]). Absolute rates of hypotension were 2.4% in the intensive treatment group vs 1.4% in the standard treatment group (HR, 1.71 [95% CI, 0.97-3.09]), 3.0% vs 2.4%, respectively, for syncope (HR, 1.23 [95% CI, 0.76-2.00]), 4.0% vs 2.7% for electrolyte abnormalities (HR, 1.51 [95% CI, 0.99-2.33]), 5.5% vs 4.0% for acute kidney injury (HR, 1.41 [95% CI, 0.98-2.04]), and 4.9% vs 5.5% for injurious falls (HR, 0.91 [95% CI, 0.65-1.29]). CONCLUSIONS AND RELEVANCE: Among ambulatory adults aged 75 years or older, treating to an SBP target of less than 120 mm Hg compared with an SBP target of less than 140 mm Hg resulted in significantly lower rates of fatal and nonfatal major cardiovascular events and death from any cause. TRIAL R…","author":[{"dropping-particle":"","family":"Williamson","given":"Jeff D","non-dropping-particle":"","parse-names":false,"suffix":""},{"dropping-particle":"","family":"Supiano","given":"Mark A","non-dropping-particle":"","parse-names":false,"suffix":""},{"dropping-particle":"","family":"Applegate","given":"William B","non-dropping-particle":"","parse-names":false,"suffix":""},{"dropping-particle":"","family":"Berlowitz","given":"Dan R","non-dropping-particle":"","parse-names":false,"suffix":""},{"dropping-particle":"","family":"Campbell","given":"Ruth C","non-dropping-particle":"","parse-names":false,"suffix":""},{"dropping-particle":"","family":"Chertow","given":"Glenn M","non-dropping-particle":"","parse-names":false,"suffix":""},{"dropping-particle":"","family":"Fine","given":"Larry J","non-dropping-particle":"","parse-names":false,"suffix":""},{"dropping-particle":"","family":"Haley","given":"William E","non-dropping-particle":"","parse-names":false,"suffix":""},{"dropping-particle":"","family":"Hawfield","given":"Amret T","non-dropping-particle":"","parse-names":false,"suffix":""},{"dropping-particle":"","family":"Ix","given":"Joachim H","non-dropping-particle":"","parse-names":false,"suffix":""},{"dropping-particle":"","family":"Kitzman","given":"Dalane W","non-dropping-particle":"","parse-names":false,"suffix":""},{"dropping-particle":"","family":"Kostis","given":"John B","non-dropping-particle":"","parse-names":false,"suffix":""},{"dropping-particle":"","family":"Krousel-Wood","given":"Marie A","non-dropping-particle":"","parse-names":false,"suffix":""},{"dropping-particle":"","family":"Launer","given":"Lenore J","non-dropping-particle":"","parse-names":false,"suffix":""},{"dropping-particle":"","family":"Oparil","given":"Suzanne","non-dropping-particle":"","parse-names":false,"suffix":""},{"dropping-particle":"","family":"Rodriguez","given":"Carlos J","non-dropping-particle":"","parse-names":false,"suffix":""},{"dropping-particle":"","family":"Roumie","given":"Christianne L","non-dropping-particle":"","parse-names":false,"suffix":""},{"dropping-particle":"","family":"Shorr","given":"Ronald I","non-dropping-particle":"","parse-names":false,"suffix":""},{"dropping-particle":"","family":"Sink","given":"Kaycee M","non-dropping-particle":"","parse-names":false,"suffix":""},{"dropping-particle":"","family":"Wadley","given":"Virginia G","non-dropping-particle":"","parse-names":false,"suffix":""},{"dropping-particle":"","family":"Whelton","given":"Paul K","non-dropping-particle":"","parse-names":false,"suffix":""},{"dropping-particle":"","family":"Whittle","given":"Jeffrey","non-dropping-particle":"","parse-names":false,"suffix":""},{"dropping-particle":"","family":"Woolard","given":"Nancy F","non-dropping-particle":"","parse-names":false,"suffix":""},{"dropping-particle":"","family":"Wright","given":"Jackson T Jr","non-dropping-particle":"","parse-names":false,"suffix":""},{"dropping-particle":"","family":"Pajewski","given":"Nicholas M","non-dropping-particle":"","parse-names":false,"suffix":""}],"container-title":"JAMA","id":"ITEM-1","issue":"24","issued":{"date-parts":[["2016"]]},"language":"eng","page":"2673-2682","title":"Intensive vs Standard Blood Pressure Control and Cardiovascular Disease Outcomes in Adults Aged &gt;/=75 Years: A Randomized Clinical Trial.","type":"article-journal","volume":"315"},"uris":["http://www.mendeley.com/documents/?uuid=4615fe3e-e126-4ae6-a1bb-9a927239b577"]}],"mendeley":{"formattedCitation":"&lt;sup&gt;14&lt;/sup&gt;","plainTextFormattedCitation":"14","previouslyFormattedCitation":"(14)"},"properties":{"noteIndex":0},"schema":"https://github.com/citation-style-language/schema/raw/master/csl-citation.json"}</w:instrText>
      </w:r>
      <w:r w:rsidRPr="00B2496F">
        <w:fldChar w:fldCharType="separate"/>
      </w:r>
      <w:r w:rsidR="00365CB9" w:rsidRPr="00B2496F">
        <w:rPr>
          <w:noProof/>
          <w:vertAlign w:val="superscript"/>
        </w:rPr>
        <w:t>14</w:t>
      </w:r>
      <w:r w:rsidRPr="00B2496F">
        <w:fldChar w:fldCharType="end"/>
      </w:r>
      <w:r w:rsidRPr="00B2496F">
        <w:t>.</w:t>
      </w:r>
    </w:p>
    <w:p w:rsidR="008544D5" w:rsidRPr="00B2496F" w:rsidRDefault="004F2611" w:rsidP="00A91FDB">
      <w:pPr>
        <w:pStyle w:val="dGewonetekst"/>
        <w:rPr>
          <w:rStyle w:val="quizsection"/>
        </w:rPr>
      </w:pPr>
      <w:r w:rsidRPr="00B2496F">
        <w:rPr>
          <w:rStyle w:val="quizsection"/>
        </w:rPr>
        <w:t xml:space="preserve">A committee unaware of treatment assignment adjudicated the protocol-specified clinical outcomes. The primary cardiovascular disease outcome was a composite of nonfatal myocardial infarction, acute coronary </w:t>
      </w:r>
      <w:r w:rsidRPr="00B2496F">
        <w:rPr>
          <w:rStyle w:val="quizsection"/>
        </w:rPr>
        <w:lastRenderedPageBreak/>
        <w:t>syndrome not resulting in a myocardial infarction, nonfatal stroke, nonfatal acute decompensated heart failure, and death from cardiovascular causes. Secondary outcomes included all-cause mortality and the composite of the SPRINT primary outcome and all-cause mortality.</w:t>
      </w:r>
      <w:r w:rsidR="00A51E82" w:rsidRPr="00B2496F">
        <w:rPr>
          <w:rStyle w:val="quizsection"/>
        </w:rPr>
        <w:t xml:space="preserve"> In August 2015, the trial was ended preliminarily after interim analysis, after a median follow-up of 3.3 years.</w:t>
      </w:r>
    </w:p>
    <w:p w:rsidR="00A91FDB" w:rsidRPr="00B2496F" w:rsidRDefault="00A91FDB" w:rsidP="00A91FDB">
      <w:pPr>
        <w:pStyle w:val="dGewonetekst"/>
      </w:pPr>
    </w:p>
    <w:p w:rsidR="00225592" w:rsidRPr="00B2496F" w:rsidRDefault="008544D5" w:rsidP="001401F8">
      <w:pPr>
        <w:pStyle w:val="bSubkop"/>
      </w:pPr>
      <w:r w:rsidRPr="00B2496F">
        <w:t>1.</w:t>
      </w:r>
      <w:r w:rsidR="001401F8" w:rsidRPr="00B2496F">
        <w:t>3</w:t>
      </w:r>
      <w:r w:rsidRPr="00B2496F">
        <w:t xml:space="preserve"> Model development</w:t>
      </w:r>
      <w:r w:rsidR="00301BBA" w:rsidRPr="00B2496F">
        <w:t xml:space="preserve"> (adapted from Hageman et al. </w:t>
      </w:r>
      <w:r w:rsidR="00301BBA" w:rsidRPr="00B2496F">
        <w:fldChar w:fldCharType="begin" w:fldLock="1"/>
      </w:r>
      <w:r w:rsidR="00365CB9" w:rsidRPr="00B2496F">
        <w:instrText>ADDIN CSL_CITATION {"citationItems":[{"id":"ITEM-1","itemData":{"author":[{"dropping-particle":"","family":"SCORE2 Working Group","given":"","non-dropping-particle":"","parse-names":false,"suffix":""}],"id":"ITEM-1","issued":{"date-parts":[["0"]]},"title":"European Society of Cardiology SCORE2 risk prediction algorithms: revised models to estimate 10-year risk of cardiovascular disease in Europe. Under review.","type":"article-journal"},"uris":["http://www.mendeley.com/documents/?uuid=273f2708-a144-40e3-9fb6-ac496a62c3bf","http://www.mendeley.com/documents/?uuid=b5d64b37-b338-49df-9282-fde6153c487d"]}],"mendeley":{"formattedCitation":"&lt;sup&gt;15&lt;/sup&gt;","plainTextFormattedCitation":"15","previouslyFormattedCitation":"(15)"},"properties":{"noteIndex":0},"schema":"https://github.com/citation-style-language/schema/raw/master/csl-citation.json"}</w:instrText>
      </w:r>
      <w:r w:rsidR="00301BBA" w:rsidRPr="00B2496F">
        <w:fldChar w:fldCharType="separate"/>
      </w:r>
      <w:r w:rsidR="00365CB9" w:rsidRPr="00B2496F">
        <w:rPr>
          <w:b w:val="0"/>
          <w:noProof/>
          <w:vertAlign w:val="superscript"/>
        </w:rPr>
        <w:t>15</w:t>
      </w:r>
      <w:r w:rsidR="00301BBA" w:rsidRPr="00B2496F">
        <w:fldChar w:fldCharType="end"/>
      </w:r>
      <w:r w:rsidR="00301BBA" w:rsidRPr="00B2496F">
        <w:t>)</w:t>
      </w:r>
    </w:p>
    <w:p w:rsidR="00225592" w:rsidRPr="00B2496F" w:rsidRDefault="003C2BA4" w:rsidP="00225592">
      <w:pPr>
        <w:pStyle w:val="dGewonetekst"/>
      </w:pPr>
      <w:r w:rsidRPr="00B2496F">
        <w:rPr>
          <w:szCs w:val="20"/>
          <w:lang w:val="en-GB"/>
        </w:rPr>
        <w:t>The interlinked stages of model development, including model derivation and recalibration are summarised in</w:t>
      </w:r>
      <w:r w:rsidRPr="00B2496F">
        <w:rPr>
          <w:b/>
          <w:szCs w:val="20"/>
          <w:lang w:val="en-GB"/>
        </w:rPr>
        <w:t xml:space="preserve"> Supplementary</w:t>
      </w:r>
      <w:r w:rsidR="00A91FDB" w:rsidRPr="00B2496F">
        <w:rPr>
          <w:b/>
          <w:szCs w:val="20"/>
          <w:lang w:val="en-GB"/>
        </w:rPr>
        <w:t xml:space="preserve"> Methods</w:t>
      </w:r>
      <w:r w:rsidRPr="00B2496F">
        <w:rPr>
          <w:b/>
          <w:szCs w:val="20"/>
          <w:lang w:val="en-GB"/>
        </w:rPr>
        <w:t xml:space="preserve"> Figure 1</w:t>
      </w:r>
      <w:r w:rsidRPr="00B2496F">
        <w:rPr>
          <w:szCs w:val="20"/>
          <w:lang w:val="en-GB"/>
        </w:rPr>
        <w:t xml:space="preserve">. </w:t>
      </w:r>
      <w:r w:rsidR="00225592" w:rsidRPr="00B2496F">
        <w:t xml:space="preserve"> An overview of the process as follows: Fine and Gray models were derived using data from CONOR</w:t>
      </w:r>
      <w:r w:rsidRPr="00B2496F">
        <w:t xml:space="preserve"> (</w:t>
      </w:r>
      <w:r w:rsidRPr="00B2496F">
        <w:rPr>
          <w:b/>
        </w:rPr>
        <w:t>Box 1</w:t>
      </w:r>
      <w:r w:rsidRPr="00B2496F">
        <w:t>)</w:t>
      </w:r>
      <w:r w:rsidR="00225592" w:rsidRPr="00B2496F">
        <w:t>. Four geographical risk regions were defined according to the age-standardized country-specific cardiovascular mortality rates. For each region, annual age- and sex-specific mortality rates were then translated to 10-year mortality risk estimates, allowing for competing risk of non-CVD death</w:t>
      </w:r>
      <w:r w:rsidRPr="00B2496F">
        <w:t xml:space="preserve"> (</w:t>
      </w:r>
      <w:r w:rsidRPr="00B2496F">
        <w:rPr>
          <w:b/>
        </w:rPr>
        <w:t>Box 2</w:t>
      </w:r>
      <w:r w:rsidRPr="00B2496F">
        <w:t>)</w:t>
      </w:r>
      <w:r w:rsidR="00225592" w:rsidRPr="00B2496F">
        <w:t xml:space="preserve">. </w:t>
      </w:r>
      <w:r w:rsidR="00301BBA" w:rsidRPr="00B2496F">
        <w:rPr>
          <w:szCs w:val="20"/>
        </w:rPr>
        <w:t>In order to translate 10-year mortality to 10-year risk of fatal and non-fatal CVD, region- age- and sex-specific multiplication factors were estimated using representative registry data and cohorts from each risk region. Multiplication factors were defined as the ratio between the cumulative incidence of fatal and non-fatal CVD events and the cumulative incidence of fatal CVD</w:t>
      </w:r>
      <w:r w:rsidRPr="00B2496F">
        <w:rPr>
          <w:szCs w:val="20"/>
        </w:rPr>
        <w:t xml:space="preserve"> (</w:t>
      </w:r>
      <w:r w:rsidRPr="00B2496F">
        <w:rPr>
          <w:b/>
          <w:szCs w:val="20"/>
        </w:rPr>
        <w:t>Box 3</w:t>
      </w:r>
      <w:r w:rsidRPr="00B2496F">
        <w:rPr>
          <w:szCs w:val="20"/>
        </w:rPr>
        <w:t>)</w:t>
      </w:r>
      <w:r w:rsidR="00301BBA" w:rsidRPr="00B2496F">
        <w:rPr>
          <w:szCs w:val="20"/>
        </w:rPr>
        <w:t>. Multipliers were then used to translate region, sex and age specific 10-year mortality incidence to expected 10-year risk of fatal and non-fatal CVD events</w:t>
      </w:r>
      <w:r w:rsidRPr="00B2496F">
        <w:rPr>
          <w:szCs w:val="20"/>
        </w:rPr>
        <w:t xml:space="preserve"> (</w:t>
      </w:r>
      <w:r w:rsidRPr="00B2496F">
        <w:rPr>
          <w:b/>
          <w:szCs w:val="20"/>
        </w:rPr>
        <w:t>Box 4</w:t>
      </w:r>
      <w:r w:rsidRPr="00B2496F">
        <w:rPr>
          <w:szCs w:val="20"/>
        </w:rPr>
        <w:t>)</w:t>
      </w:r>
      <w:r w:rsidR="00301BBA" w:rsidRPr="00B2496F">
        <w:rPr>
          <w:szCs w:val="20"/>
        </w:rPr>
        <w:t>. Region, sex and age-specific predicted 10-year risks were then estimated using the core, un-calibrated 10-year risk models</w:t>
      </w:r>
      <w:r w:rsidRPr="00B2496F">
        <w:rPr>
          <w:szCs w:val="20"/>
        </w:rPr>
        <w:t xml:space="preserve"> (derived in </w:t>
      </w:r>
      <w:r w:rsidRPr="00B2496F">
        <w:rPr>
          <w:b/>
          <w:szCs w:val="20"/>
        </w:rPr>
        <w:t>Box 1</w:t>
      </w:r>
      <w:r w:rsidRPr="00B2496F">
        <w:rPr>
          <w:szCs w:val="20"/>
        </w:rPr>
        <w:t>)</w:t>
      </w:r>
      <w:r w:rsidR="00301BBA" w:rsidRPr="00B2496F">
        <w:rPr>
          <w:szCs w:val="20"/>
        </w:rPr>
        <w:t xml:space="preserve"> with region, sex and age-specific risk factors from the Non-Communicable Disease Risk Factor Collaboration (NCD-RisC)</w:t>
      </w:r>
      <w:r w:rsidRPr="00B2496F">
        <w:rPr>
          <w:szCs w:val="20"/>
        </w:rPr>
        <w:t xml:space="preserve"> (</w:t>
      </w:r>
      <w:r w:rsidRPr="00B2496F">
        <w:rPr>
          <w:b/>
          <w:szCs w:val="20"/>
        </w:rPr>
        <w:t>Box 5</w:t>
      </w:r>
      <w:r w:rsidRPr="00B2496F">
        <w:rPr>
          <w:szCs w:val="20"/>
        </w:rPr>
        <w:t>)</w:t>
      </w:r>
      <w:r w:rsidR="00301BBA" w:rsidRPr="00B2496F">
        <w:rPr>
          <w:szCs w:val="20"/>
        </w:rPr>
        <w:t>. The region and sex and age-specific predicted risks</w:t>
      </w:r>
      <w:r w:rsidRPr="00B2496F">
        <w:rPr>
          <w:szCs w:val="20"/>
        </w:rPr>
        <w:t xml:space="preserve"> (from </w:t>
      </w:r>
      <w:r w:rsidRPr="00B2496F">
        <w:rPr>
          <w:b/>
          <w:szCs w:val="20"/>
        </w:rPr>
        <w:t>Box 5</w:t>
      </w:r>
      <w:r w:rsidRPr="00B2496F">
        <w:rPr>
          <w:szCs w:val="20"/>
        </w:rPr>
        <w:t>)</w:t>
      </w:r>
      <w:r w:rsidR="00301BBA" w:rsidRPr="00B2496F">
        <w:rPr>
          <w:szCs w:val="20"/>
        </w:rPr>
        <w:t xml:space="preserve"> were compared to expected risks</w:t>
      </w:r>
      <w:r w:rsidRPr="00B2496F">
        <w:rPr>
          <w:szCs w:val="20"/>
        </w:rPr>
        <w:t xml:space="preserve"> (from </w:t>
      </w:r>
      <w:r w:rsidRPr="00B2496F">
        <w:rPr>
          <w:b/>
          <w:szCs w:val="20"/>
        </w:rPr>
        <w:t>Box 4</w:t>
      </w:r>
      <w:r w:rsidRPr="00B2496F">
        <w:rPr>
          <w:szCs w:val="20"/>
        </w:rPr>
        <w:t>)</w:t>
      </w:r>
      <w:r w:rsidR="00301BBA" w:rsidRPr="00B2496F">
        <w:rPr>
          <w:szCs w:val="20"/>
        </w:rPr>
        <w:t xml:space="preserve"> and rescaling factors were estimated to recalibrate the models for each region and sex</w:t>
      </w:r>
      <w:r w:rsidRPr="00B2496F">
        <w:rPr>
          <w:szCs w:val="20"/>
        </w:rPr>
        <w:t xml:space="preserve"> (</w:t>
      </w:r>
      <w:r w:rsidRPr="00B2496F">
        <w:rPr>
          <w:b/>
          <w:szCs w:val="20"/>
        </w:rPr>
        <w:t>Box 6</w:t>
      </w:r>
      <w:r w:rsidRPr="00B2496F">
        <w:rPr>
          <w:szCs w:val="20"/>
        </w:rPr>
        <w:t>)</w:t>
      </w:r>
      <w:r w:rsidR="00301BBA" w:rsidRPr="00B2496F">
        <w:rPr>
          <w:szCs w:val="20"/>
        </w:rPr>
        <w:t>. Finally, the rescaling factors are applied with the original un-calibrated model to give new, recalibrated risk predictions in new individuals</w:t>
      </w:r>
      <w:r w:rsidRPr="00B2496F">
        <w:rPr>
          <w:szCs w:val="20"/>
        </w:rPr>
        <w:t xml:space="preserve"> (</w:t>
      </w:r>
      <w:r w:rsidRPr="00B2496F">
        <w:rPr>
          <w:b/>
          <w:szCs w:val="20"/>
        </w:rPr>
        <w:t>Box 7</w:t>
      </w:r>
      <w:r w:rsidRPr="00B2496F">
        <w:rPr>
          <w:szCs w:val="20"/>
        </w:rPr>
        <w:t>)</w:t>
      </w:r>
      <w:r w:rsidR="00301BBA" w:rsidRPr="00B2496F">
        <w:rPr>
          <w:szCs w:val="20"/>
        </w:rPr>
        <w:t>.</w:t>
      </w:r>
    </w:p>
    <w:p w:rsidR="00225592" w:rsidRPr="00B2496F" w:rsidRDefault="00225592" w:rsidP="00225592">
      <w:pPr>
        <w:pStyle w:val="dGewonetekst"/>
      </w:pPr>
    </w:p>
    <w:p w:rsidR="003C2BA4" w:rsidRPr="00B2496F" w:rsidRDefault="003C2BA4" w:rsidP="003C2BA4">
      <w:pPr>
        <w:spacing w:after="0" w:line="360" w:lineRule="auto"/>
        <w:jc w:val="both"/>
        <w:rPr>
          <w:rFonts w:ascii="Arial" w:hAnsi="Arial" w:cs="Arial"/>
          <w:sz w:val="20"/>
          <w:szCs w:val="20"/>
          <w:lang w:val="en-GB"/>
        </w:rPr>
      </w:pPr>
      <w:r w:rsidRPr="00B2496F">
        <w:rPr>
          <w:rFonts w:ascii="Arial" w:hAnsi="Arial" w:cs="Arial"/>
          <w:sz w:val="20"/>
          <w:szCs w:val="20"/>
          <w:lang w:val="en-GB"/>
        </w:rPr>
        <w:t xml:space="preserve">The methods applied in </w:t>
      </w:r>
      <w:r w:rsidRPr="00B2496F">
        <w:rPr>
          <w:rFonts w:ascii="Arial" w:hAnsi="Arial" w:cs="Arial"/>
          <w:b/>
          <w:sz w:val="20"/>
          <w:szCs w:val="20"/>
          <w:lang w:val="en-GB"/>
        </w:rPr>
        <w:t xml:space="preserve">Boxes 1, 2, 3 </w:t>
      </w:r>
      <w:r w:rsidRPr="00B2496F">
        <w:rPr>
          <w:rFonts w:ascii="Arial" w:hAnsi="Arial" w:cs="Arial"/>
          <w:sz w:val="20"/>
          <w:szCs w:val="20"/>
          <w:lang w:val="en-GB"/>
        </w:rPr>
        <w:t>and</w:t>
      </w:r>
      <w:r w:rsidRPr="00B2496F">
        <w:rPr>
          <w:rFonts w:ascii="Arial" w:hAnsi="Arial" w:cs="Arial"/>
          <w:b/>
          <w:sz w:val="20"/>
          <w:szCs w:val="20"/>
          <w:lang w:val="en-GB"/>
        </w:rPr>
        <w:t xml:space="preserve"> 6</w:t>
      </w:r>
      <w:r w:rsidRPr="00B2496F">
        <w:rPr>
          <w:rFonts w:ascii="Arial" w:hAnsi="Arial" w:cs="Arial"/>
          <w:sz w:val="20"/>
          <w:szCs w:val="20"/>
          <w:lang w:val="en-GB"/>
        </w:rPr>
        <w:t xml:space="preserve"> warrant further explanation and are detailed as follows:</w:t>
      </w:r>
    </w:p>
    <w:p w:rsidR="003C2BA4" w:rsidRPr="00B2496F" w:rsidRDefault="003C2BA4" w:rsidP="00225592">
      <w:pPr>
        <w:pStyle w:val="dGewonetekst"/>
        <w:rPr>
          <w:lang w:val="en-GB"/>
        </w:rPr>
      </w:pPr>
    </w:p>
    <w:p w:rsidR="00225592" w:rsidRPr="00B2496F" w:rsidRDefault="003C2BA4" w:rsidP="003B2F2B">
      <w:pPr>
        <w:pStyle w:val="cSubkop2"/>
      </w:pPr>
      <w:r w:rsidRPr="00B2496F">
        <w:t>Box</w:t>
      </w:r>
      <w:r w:rsidR="00225592" w:rsidRPr="00B2496F">
        <w:t xml:space="preserve"> 1: Model derivation</w:t>
      </w:r>
    </w:p>
    <w:p w:rsidR="003C2BA4" w:rsidRPr="00B2496F" w:rsidRDefault="00301BBA" w:rsidP="003C2BA4">
      <w:pPr>
        <w:pStyle w:val="dGewonetekst"/>
        <w:rPr>
          <w:szCs w:val="20"/>
        </w:rPr>
      </w:pPr>
      <w:r w:rsidRPr="00B2496F">
        <w:rPr>
          <w:szCs w:val="20"/>
        </w:rPr>
        <w:t xml:space="preserve">For model derivation, sex-specific coefficients were estimated using Fine and Gray competing risk-adjusted models. Risk predictors were age, sex, current smoking, history of diabetes mellitus, systolic blood </w:t>
      </w:r>
      <w:r w:rsidRPr="00B2496F">
        <w:rPr>
          <w:szCs w:val="20"/>
        </w:rPr>
        <w:lastRenderedPageBreak/>
        <w:t xml:space="preserve">pressure, and total and HDL cholesterol and age-interactions were added for all predictors. Continuous risk predictors were centred before analysis. There were no or minimal violations of the proportional hazards assumptions as assessed visually based on plotted Schoenfeld residuals. </w:t>
      </w:r>
    </w:p>
    <w:p w:rsidR="003C2BA4" w:rsidRPr="00B2496F" w:rsidRDefault="003C2BA4" w:rsidP="003B2F2B">
      <w:pPr>
        <w:pStyle w:val="dGewonetekst"/>
      </w:pPr>
    </w:p>
    <w:p w:rsidR="00301BBA" w:rsidRPr="00B2496F" w:rsidRDefault="003C2BA4" w:rsidP="003B2F2B">
      <w:pPr>
        <w:pStyle w:val="cSubkop2"/>
      </w:pPr>
      <w:r w:rsidRPr="00B2496F">
        <w:t xml:space="preserve">Box 2: </w:t>
      </w:r>
      <w:r w:rsidR="00301BBA" w:rsidRPr="00B2496F">
        <w:t xml:space="preserve">Estimation of 10-year competing risk adjusted mortality for each risk region </w:t>
      </w:r>
    </w:p>
    <w:p w:rsidR="00C26AF6" w:rsidRPr="00B2496F" w:rsidRDefault="00C26AF6" w:rsidP="00225592">
      <w:pPr>
        <w:pStyle w:val="dGewonetekst"/>
      </w:pPr>
      <w:r w:rsidRPr="00B2496F">
        <w:t xml:space="preserve">Estimates of CVD event incidence were based on the most recent WHO cardiovascular mortality rates, which were transformed to estimates of CVD event incidence using a multiplier approach. WHO cause-specific mortality rates are supplied by every country and coded in ICD-9 or ICD-10. Rates included mortality </w:t>
      </w:r>
      <w:r w:rsidR="005F2F22" w:rsidRPr="00B2496F">
        <w:t xml:space="preserve">from all causes </w:t>
      </w:r>
      <w:r w:rsidRPr="00B2496F">
        <w:t xml:space="preserve">included in the original SCORE endpoint </w:t>
      </w:r>
      <w:r w:rsidRPr="00B2496F">
        <w:fldChar w:fldCharType="begin" w:fldLock="1"/>
      </w:r>
      <w:r w:rsidR="00365CB9" w:rsidRPr="00B2496F">
        <w:instrText>ADDIN CSL_CITATION {"citationItems":[{"id":"ITEM-1","itemData":{"DOI":"10.1016/S0195-668X(03)00114-3","ISSN":"0195-668X","abstract":"Aims The SCORE project was initiated to develop a risk scoring system for use in the clinical management of cardiovascular risk in European clinical practice.Methods and results The project assembled a pool of datasets from 12 European cohort studies, mainly carried out in general population settings. There were 205 178 persons (88 080 women and 117 098 men) representing 2.7 million person years of follow-up. There were 7934 cardiovascular deaths, of which 5652 were deaths from coronary heart disease. Ten-year risk of fatal cardiovascular disease was calculated using a Weibull model in which age was used as a measure of exposure time to risk rather than as a risk factor. Separate estimation equations were calculated for coronary heart disease and for non-coronary cardiovascular disease. These were calculated for high-risk and low-risk regions of Europe. Two parallel estimation models were developed, one based on total cholesterol and the other on total cholesterol/HDL cholesterol ratio. The risk estimations are displayed graphically in simple risk charts. Predictive value of the risk charts was examined by applying them to persons aged 45–64; areas under ROC curves ranged from 0.71 to 0.84.Conclusions The SCORE risk estimation system offers direct estimation of total fatal cardiovascular risk in a format suited to the constraints of clinical practice.","author":[{"dropping-particle":"","family":"Conroy","given":"R M","non-dropping-particle":"","parse-names":false,"suffix":""},{"dropping-particle":"","family":"Pyörälä","given":"K","non-dropping-particle":"","parse-names":false,"suffix":""},{"dropping-particle":"","family":"Fitzgerald","given":"A P","non-dropping-particle":"","parse-names":false,"suffix":""},{"dropping-particle":"","family":"Sans","given":"S","non-dropping-particle":"","parse-names":false,"suffix":""},{"dropping-particle":"","family":"Menotti","given":"A","non-dropping-particle":"","parse-names":false,"suffix":""},{"dropping-particle":"","family":"Backer","given":"G","non-dropping-particle":"De","parse-names":false,"suffix":""},{"dropping-particle":"","family":"Bacquer","given":"D","non-dropping-particle":"De","parse-names":false,"suffix":""},{"dropping-particle":"","family":"Ducimetière","given":"P","non-dropping-particle":"","parse-names":false,"suffix":""},{"dropping-particle":"","family":"Group","given":"on behalf of the SCORE project","non-dropping-particle":"","parse-names":false,"suffix":""},{"dropping-particle":"","family":"Jousilahti","given":"P","non-dropping-particle":"","parse-names":false,"suffix":""},{"dropping-particle":"","family":"Keil","given":"U","non-dropping-particle":"","parse-names":false,"suffix":""},{"dropping-particle":"","family":"Njølstad","given":"I","non-dropping-particle":"","parse-names":false,"suffix":""},{"dropping-particle":"","family":"Oganov","given":"R G","non-dropping-particle":"","parse-names":false,"suffix":""},{"dropping-particle":"","family":"Thomsen","given":"T","non-dropping-particle":"","parse-names":false,"suffix":""},{"dropping-particle":"","family":"Tunstall-Pedoe","given":"H","non-dropping-particle":"","parse-names":false,"suffix":""},{"dropping-particle":"","family":"Tverdal","given":"A","non-dropping-particle":"","parse-names":false,"suffix":""},{"dropping-particle":"","family":"Wedel","given":"H","non-dropping-particle":"","parse-names":false,"suffix":""},{"dropping-particle":"","family":"Whincup","given":"P","non-dropping-particle":"","parse-names":false,"suffix":""},{"dropping-particle":"","family":"Wilhelmsen","given":"L","non-dropping-particle":"","parse-names":false,"suffix":""},{"dropping-particle":"","family":"Graham","given":"I M","non-dropping-particle":"","parse-names":false,"suffix":""},{"dropping-particle":"","family":"on behalf of the SCORE project group","given":"","non-dropping-particle":"","parse-names":false,"suffix":""}],"container-title":"European Heart Journal","id":"ITEM-1","issue":"11","issued":{"date-parts":[["2003"]]},"page":"987-1003","title":"Estimation of ten-year risk of fatal cardiovascular disease in Europe: the SCORE project","type":"article-journal","volume":"24"},"uris":["http://www.mendeley.com/documents/?uuid=401cfd4e-95f3-4680-a55f-5674253bc354"]}],"mendeley":{"formattedCitation":"&lt;sup&gt;16&lt;/sup&gt;","plainTextFormattedCitation":"16","previouslyFormattedCitation":"(16)"},"properties":{"noteIndex":0},"schema":"https://github.com/citation-style-language/schema/raw/master/csl-citation.json"}</w:instrText>
      </w:r>
      <w:r w:rsidRPr="00B2496F">
        <w:fldChar w:fldCharType="separate"/>
      </w:r>
      <w:r w:rsidR="00365CB9" w:rsidRPr="00B2496F">
        <w:rPr>
          <w:noProof/>
          <w:vertAlign w:val="superscript"/>
        </w:rPr>
        <w:t>16</w:t>
      </w:r>
      <w:r w:rsidRPr="00B2496F">
        <w:fldChar w:fldCharType="end"/>
      </w:r>
      <w:r w:rsidRPr="00B2496F">
        <w:t xml:space="preserve"> (Supplementary Table 1). Non-CVD mortality was defined as all mortality</w:t>
      </w:r>
      <w:r w:rsidR="005F2F22" w:rsidRPr="00B2496F">
        <w:t xml:space="preserve"> from causes</w:t>
      </w:r>
      <w:r w:rsidRPr="00B2496F">
        <w:t xml:space="preserve"> not included in the SCORE endpoint.</w:t>
      </w:r>
    </w:p>
    <w:p w:rsidR="00C26AF6" w:rsidRPr="00B2496F" w:rsidRDefault="00FE0207" w:rsidP="00225592">
      <w:pPr>
        <w:pStyle w:val="dGewonetekst"/>
      </w:pPr>
      <w:r w:rsidRPr="00B2496F">
        <w:t>For every age-group, CVD mortality rates were used which were observed at the midpoint of the projected 10-year follow-up period, so the CVD mortality rates of one 5-year age-group ahead (i.e. for prediction in the 40 to 44 year age-group the rates for 45 to 49 years were used as these are at the midpoint of the 10-year interval).</w:t>
      </w:r>
      <w:r w:rsidR="00C26AF6" w:rsidRPr="00B2496F">
        <w:t xml:space="preserve"> WHO rates of both the fatal cardiovascular outcome and the competing outcome non-CVD mortality were converted to 1–year mortality risks (</w:t>
      </w:r>
      <m:oMath>
        <m:r>
          <w:rPr>
            <w:rFonts w:ascii="Cambria Math" w:hAnsi="Cambria Math"/>
          </w:rPr>
          <m:t>r)</m:t>
        </m:r>
      </m:oMath>
      <w:r w:rsidR="00C26AF6" w:rsidRPr="00B2496F">
        <w:t xml:space="preserve"> using the following formula:</w:t>
      </w:r>
    </w:p>
    <w:p w:rsidR="00C26AF6" w:rsidRPr="00B2496F" w:rsidRDefault="00C26AF6" w:rsidP="00225592">
      <w:pPr>
        <w:pStyle w:val="dGewonetekst"/>
      </w:pPr>
      <m:oMathPara>
        <m:oMath>
          <m:r>
            <w:rPr>
              <w:rFonts w:ascii="Cambria Math" w:hAnsi="Cambria Math"/>
            </w:rPr>
            <m:t>r</m:t>
          </m:r>
          <m:r>
            <m:rPr>
              <m:sty m:val="p"/>
            </m:rPr>
            <w:rPr>
              <w:rFonts w:ascii="Cambria Math" w:hAnsi="Cambria Math"/>
            </w:rPr>
            <m:t xml:space="preserve">=1- </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fatal</m:t>
              </m:r>
              <m:r>
                <m:rPr>
                  <m:sty m:val="p"/>
                </m:rPr>
                <w:rPr>
                  <w:rFonts w:ascii="Cambria Math" w:hAnsi="Cambria Math"/>
                </w:rPr>
                <m:t xml:space="preserve"> </m:t>
              </m:r>
              <m:r>
                <w:rPr>
                  <w:rFonts w:ascii="Cambria Math" w:hAnsi="Cambria Math"/>
                </w:rPr>
                <m:t>rate</m:t>
              </m:r>
              <m:r>
                <m:rPr>
                  <m:sty m:val="p"/>
                </m:rPr>
                <w:rPr>
                  <w:rFonts w:ascii="Cambria Math" w:hAnsi="Cambria Math"/>
                </w:rPr>
                <m:t>)</m:t>
              </m:r>
            </m:sup>
          </m:sSup>
          <m:r>
            <m:rPr>
              <m:sty m:val="p"/>
            </m:rPr>
            <w:rPr>
              <w:rFonts w:ascii="Cambria Math" w:hAnsi="Cambria Math"/>
            </w:rPr>
            <m:t>⁡</m:t>
          </m:r>
        </m:oMath>
      </m:oMathPara>
    </w:p>
    <w:p w:rsidR="00C26AF6" w:rsidRPr="00B2496F" w:rsidRDefault="00C26AF6" w:rsidP="00225592">
      <w:pPr>
        <w:pStyle w:val="dGewonetekst"/>
      </w:pPr>
      <w:r w:rsidRPr="00B2496F">
        <w:t>The 1-year risks of fatal CVD were corrected for the competing risk of non-CVD death and extrapolated to 10-year risks. This was done using life-tables with 1-year intervals, usin</w:t>
      </w:r>
      <w:r w:rsidR="00432346" w:rsidRPr="00B2496F">
        <w:t xml:space="preserve">g follow-up time as a timescale </w:t>
      </w:r>
      <w:r w:rsidRPr="00B2496F">
        <w:fldChar w:fldCharType="begin" w:fldLock="1"/>
      </w:r>
      <w:r w:rsidR="00365CB9" w:rsidRPr="00B2496F">
        <w:instrText>ADDIN CSL_CITATION {"citationItems":[{"id":"ITEM-1","itemData":{"author":[{"dropping-particle":"","family":"Kaasenbrood","given":"L","non-dropping-particle":"","parse-names":false,"suffix":""},{"dropping-particle":"","family":"Bhatt","given":"D.L.","non-dropping-particle":"","parse-names":false,"suffix":""},{"dropping-particle":"","family":"Dorresteijn","given":"J.A.","non-dropping-particle":"","parse-names":false,"suffix":""},{"dropping-particle":"","family":"Wilson","given":"P.W.","non-dropping-particle":"","parse-names":false,"suffix":""},{"dropping-particle":"","family":"D'Agostino","given":"R.B.","non-dropping-particle":"","parse-names":false,"suffix":""},{"dropping-particle":"","family":"Massaron","given":"J.M.","non-dropping-particle":"","parse-names":false,"suffix":""},{"dropping-particle":"","family":"Graaf","given":"Y","non-dropping-particle":"van der","parse-names":false,"suffix":""},{"dropping-particle":"","family":"Cramer","given":"M.J.","non-dropping-particle":"","parse-names":false,"suffix":""},{"dropping-particle":"","family":"Kappelle","given":"L.J.","non-dropping-particle":"","parse-names":false,"suffix":""},{"dropping-particle":"de","family":"Borst","given":"G.J.","non-dropping-particle":"","parse-names":false,"suffix":""},{"dropping-particle":"","family":"Steg","given":"Ph.G.","non-dropping-particle":"","parse-names":false,"suffix":""},{"dropping-particle":"","family":"Visseren","given":"F.L.","non-dropping-particle":"","parse-names":false,"suffix":""}],"container-title":"Journal of the American Heart Association","id":"ITEM-1","issued":{"date-parts":[["2018"]]},"page":"e009217","title":"Estimated life-expectancy without recurrent cardiovascular events in patients with vascular disease: the SMART-REACH model","type":"article-journal","volume":"7"},"uris":["http://www.mendeley.com/documents/?uuid=2a8ac554-0df6-4ee6-aa61-350d9d46c56b"]},{"id":"ITEM-2","itemData":{"ISSN":"1756-1833 (Electronic)","PMID":"21968126","abstract":"OBJECTIVES: To predict treatment effects for individual patients based on data from randomised trials, taking rosuvastatin treatment in the primary prevention of cardiovascular disease as an example, and to evaluate the net benefit of making treatment decisions for individual patients based on a predicted absolute treatment effect. SETTING: As an example, data were used from the Justification for the Use of Statins in Prevention (JUPITER) trial, a randomised controlled trial evaluating the effect of rosuvastatin 20 mg daily versus placebo on the occurrence of cardiovascular events (myocardial infarction, stroke, arterial revascularisation, admission to hospital for unstable angina, or death from cardiovascular causes). Population 17,802 healthy men and women who had low density lipoprotein cholesterol levels of less than 3.4 mmol/L and high sensitivity C reactive protein levels of 2.0 mg/L or more. METHODS: Data from the Justification for the Use of Statins in Prevention trial were used to predict rosuvastatin treatment effect for individual patients based on existing risk scores (Framingham and Reynolds) and on a newly developed prediction model. We compared the net benefit of prediction based rosuvastatin treatment (selective treatment of patients whose predicted treatment effect exceeds a decision threshold) with the net benefit of treating either everyone or no one. RESULTS: The median predicted 10 year absolute risk reduction for cardiovascular events was 4.4% (interquartile range 2.6-7.0%) based on the Framingham risk score, 4.2% (2.5-7.1%) based on the Reynolds score, and 3.9% (2.5-6.1%) based on the newly developed model (optimal fit model). Prediction based treatment was associated with more net benefit than treating everyone or no one, provided that the decision threshold was between 2% and 7%, and thus that the number willing to treat (NWT) to prevent one cardiovascular event over 10 years was between 15 and 50. CONCLUSIONS: Data from randomised trials can be used to predict treatment effect in terms of absolute risk reduction for individual patients, based on a newly developed model or, if available, existing risk scores. The value of such prediction of treatment effect for medical decision making is conditional on the NWT to prevent one outcome event. Trial registration number Clinicaltrials.gov NCT00239681.","author":[{"dropping-particle":"","family":"Dorresteijn","given":"Johannes A N","non-dropping-particle":"","parse-names":false,"suffix":""},{"dropping-particle":"","family":"Visseren","given":"Frank L J","non-dropping-particle":"","parse-names":false,"suffix":""},{"dropping-particle":"","family":"Ridker","given":"Paul M","non-dropping-particle":"","parse-names":false,"suffix":""},{"dropping-particle":"","family":"Wassink","given":"Annemarie M J","non-dropping-particle":"","parse-names":false,"suffix":""},{"dropping-particle":"","family":"Paynter","given":"Nina P","non-dropping-particle":"","parse-names":false,"suffix":""},{"dropping-particle":"","family":"Steyerberg","given":"Ewout W","non-dropping-particle":"","parse-names":false,"suffix":""},{"dropping-particle":"","family":"Graaf","given":"Yolanda","non-dropping-particle":"van der","parse-names":false,"suffix":""},{"dropping-particle":"","family":"Cook","given":"Nancy R","non-dropping-particle":"","parse-names":false,"suffix":""}],"container-title":"BMJ","id":"ITEM-2","issued":{"date-parts":[["2011"]]},"page":"d5888","title":"Estimating treatment effects for individual patients based on the results of randomised clinical trials.","type":"article-journal","volume":"343"},"uris":["http://www.mendeley.com/documents/?uuid=af2a677d-4cdd-4879-ae5d-3c0c4e6419b5"]}],"mendeley":{"formattedCitation":"&lt;sup&gt;17,18&lt;/sup&gt;","plainTextFormattedCitation":"17,18","previouslyFormattedCitation":"(17,18)"},"properties":{"noteIndex":0},"schema":"https://github.com/citation-style-language/schema/raw/master/csl-citation.json"}</w:instrText>
      </w:r>
      <w:r w:rsidRPr="00B2496F">
        <w:fldChar w:fldCharType="separate"/>
      </w:r>
      <w:r w:rsidR="00365CB9" w:rsidRPr="00B2496F">
        <w:rPr>
          <w:noProof/>
          <w:vertAlign w:val="superscript"/>
        </w:rPr>
        <w:t>17,18</w:t>
      </w:r>
      <w:r w:rsidRPr="00B2496F">
        <w:fldChar w:fldCharType="end"/>
      </w:r>
      <w:r w:rsidR="00432346" w:rsidRPr="00B2496F">
        <w:t>.</w:t>
      </w:r>
      <w:r w:rsidRPr="00B2496F">
        <w:t xml:space="preserve"> For every interval, CVD-free survival was calculated using the following formula:</w:t>
      </w:r>
    </w:p>
    <w:p w:rsidR="00C26AF6" w:rsidRPr="00B2496F" w:rsidRDefault="00795EEF" w:rsidP="00225592">
      <w:pPr>
        <w:pStyle w:val="dGewonetekst"/>
      </w:pPr>
      <m:oMathPara>
        <m:oMath>
          <m:sSub>
            <m:sSubPr>
              <m:ctrlPr>
                <w:rPr>
                  <w:rFonts w:ascii="Cambria Math" w:hAnsi="Cambria Math"/>
                </w:rPr>
              </m:ctrlPr>
            </m:sSubPr>
            <m:e>
              <m:r>
                <m:rPr>
                  <m:sty m:val="p"/>
                </m:rPr>
                <w:rPr>
                  <w:rFonts w:ascii="Cambria Math" w:hAnsi="Cambria Math"/>
                </w:rPr>
                <m:t>S</m:t>
              </m:r>
            </m:e>
            <m:sub>
              <m:r>
                <w:rPr>
                  <w:rFonts w:ascii="Cambria Math" w:hAnsi="Cambria Math"/>
                </w:rPr>
                <m:t>t+1</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S</m:t>
              </m:r>
            </m:e>
            <m:sub>
              <m:r>
                <w:rPr>
                  <w:rFonts w:ascii="Cambria Math" w:hAnsi="Cambria Math"/>
                </w:rPr>
                <m:t>t</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r</m:t>
              </m:r>
            </m:e>
            <m:sub>
              <m:r>
                <w:rPr>
                  <w:rFonts w:ascii="Cambria Math" w:hAnsi="Cambria Math"/>
                </w:rPr>
                <m:t>cvd,t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m:t>
              </m:r>
            </m:e>
            <m:sub>
              <m:r>
                <w:rPr>
                  <w:rFonts w:ascii="Cambria Math" w:hAnsi="Cambria Math"/>
                </w:rPr>
                <m:t>comp,t</m:t>
              </m:r>
            </m:sub>
          </m:sSub>
          <m:r>
            <m:rPr>
              <m:sty m:val="p"/>
            </m:rPr>
            <w:rPr>
              <w:rFonts w:ascii="Cambria Math" w:hAnsi="Cambria Math"/>
            </w:rPr>
            <m:t xml:space="preserve">). </m:t>
          </m:r>
        </m:oMath>
      </m:oMathPara>
    </w:p>
    <w:p w:rsidR="00C26AF6" w:rsidRPr="00B2496F" w:rsidRDefault="00C26AF6" w:rsidP="00225592">
      <w:pPr>
        <w:pStyle w:val="dGewonetekst"/>
      </w:pPr>
      <w:r w:rsidRPr="00B2496F">
        <w:t>In which S</w:t>
      </w:r>
      <w:r w:rsidRPr="00B2496F">
        <w:rPr>
          <w:vertAlign w:val="subscript"/>
        </w:rPr>
        <w:t>t</w:t>
      </w:r>
      <w:r w:rsidRPr="00B2496F">
        <w:t xml:space="preserve">=probability of being alive at start of interval </w:t>
      </w:r>
      <w:r w:rsidRPr="00B2496F">
        <w:rPr>
          <w:i/>
        </w:rPr>
        <w:t>t</w:t>
      </w:r>
      <w:r w:rsidRPr="00B2496F">
        <w:t>; S</w:t>
      </w:r>
      <w:r w:rsidRPr="00B2496F">
        <w:rPr>
          <w:vertAlign w:val="subscript"/>
        </w:rPr>
        <w:t>t+1</w:t>
      </w:r>
      <w:r w:rsidRPr="00B2496F">
        <w:t xml:space="preserve">=probability of being healthy and alive at end of interval </w:t>
      </w:r>
      <w:r w:rsidRPr="00B2496F">
        <w:rPr>
          <w:i/>
        </w:rPr>
        <w:t>t</w:t>
      </w:r>
      <w:r w:rsidRPr="00B2496F">
        <w:t xml:space="preserve">;  and </w:t>
      </w:r>
      <m:oMath>
        <m:sSub>
          <m:sSubPr>
            <m:ctrlPr>
              <w:rPr>
                <w:rFonts w:ascii="Cambria Math" w:hAnsi="Cambria Math"/>
              </w:rPr>
            </m:ctrlPr>
          </m:sSubPr>
          <m:e>
            <m:r>
              <m:rPr>
                <m:sty m:val="p"/>
              </m:rPr>
              <w:rPr>
                <w:rFonts w:ascii="Cambria Math" w:hAnsi="Cambria Math"/>
              </w:rPr>
              <m:t>r</m:t>
            </m:r>
          </m:e>
          <m:sub>
            <m:r>
              <w:rPr>
                <w:rFonts w:ascii="Cambria Math" w:hAnsi="Cambria Math"/>
              </w:rPr>
              <m:t>cvd,t</m:t>
            </m:r>
          </m:sub>
        </m:sSub>
      </m:oMath>
      <w:r w:rsidRPr="00B2496F">
        <w:t xml:space="preserve">  and </w:t>
      </w:r>
      <m:oMath>
        <m:sSub>
          <m:sSubPr>
            <m:ctrlPr>
              <w:rPr>
                <w:rFonts w:ascii="Cambria Math" w:hAnsi="Cambria Math"/>
              </w:rPr>
            </m:ctrlPr>
          </m:sSubPr>
          <m:e>
            <m:r>
              <m:rPr>
                <m:sty m:val="p"/>
              </m:rPr>
              <w:rPr>
                <w:rFonts w:ascii="Cambria Math" w:hAnsi="Cambria Math"/>
              </w:rPr>
              <m:t>r</m:t>
            </m:r>
          </m:e>
          <m:sub>
            <m:r>
              <w:rPr>
                <w:rFonts w:ascii="Cambria Math" w:hAnsi="Cambria Math"/>
              </w:rPr>
              <m:t xml:space="preserve">comp,t </m:t>
            </m:r>
          </m:sub>
        </m:sSub>
      </m:oMath>
      <w:r w:rsidRPr="00B2496F">
        <w:t xml:space="preserve"> are the probabilities of experiencing a fatal CVD event or competing events respectively during interval </w:t>
      </w:r>
      <w:r w:rsidRPr="00B2496F">
        <w:rPr>
          <w:i/>
        </w:rPr>
        <w:t>t,</w:t>
      </w:r>
      <w:r w:rsidRPr="00B2496F">
        <w:t xml:space="preserve"> given disease-free survival up to start of interval </w:t>
      </w:r>
      <w:r w:rsidRPr="00B2496F">
        <w:rPr>
          <w:i/>
        </w:rPr>
        <w:t>t</w:t>
      </w:r>
      <w:r w:rsidRPr="00B2496F">
        <w:t xml:space="preserve">;  For </w:t>
      </w:r>
      <w:r w:rsidR="00A91FDB" w:rsidRPr="00B2496F">
        <w:t>each</w:t>
      </w:r>
      <w:r w:rsidRPr="00B2496F">
        <w:t xml:space="preserve"> 1-year interval of the 10-year timeframe of interest, the cause-specific </w:t>
      </w:r>
      <w:r w:rsidR="00A91FDB" w:rsidRPr="00B2496F">
        <w:t>CV</w:t>
      </w:r>
      <w:r w:rsidRPr="00B2496F">
        <w:t xml:space="preserve"> mortality risk was calculated using:</w:t>
      </w:r>
    </w:p>
    <w:p w:rsidR="00C26AF6" w:rsidRPr="00B2496F" w:rsidRDefault="00795EEF" w:rsidP="00225592">
      <w:pPr>
        <w:pStyle w:val="dGewonetekst"/>
      </w:pPr>
      <m:oMathPara>
        <m:oMath>
          <m:sSub>
            <m:sSubPr>
              <m:ctrlPr>
                <w:rPr>
                  <w:rFonts w:ascii="Cambria Math" w:hAnsi="Cambria Math"/>
                </w:rPr>
              </m:ctrlPr>
            </m:sSubPr>
            <m:e>
              <m:r>
                <m:rPr>
                  <m:sty m:val="p"/>
                </m:rPr>
                <w:rPr>
                  <w:rFonts w:ascii="Cambria Math" w:hAnsi="Cambria Math"/>
                </w:rPr>
                <m:t>CVrisk</m:t>
              </m:r>
            </m:e>
            <m:sub>
              <m:r>
                <w:rPr>
                  <w:rFonts w:ascii="Cambria Math" w:hAnsi="Cambria Math"/>
                </w:rPr>
                <m:t>t</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r</m:t>
                  </m:r>
                </m:e>
                <m:sub>
                  <m:r>
                    <w:rPr>
                      <w:rFonts w:ascii="Cambria Math" w:hAnsi="Cambria Math"/>
                    </w:rPr>
                    <m:t>cvd,t</m:t>
                  </m:r>
                </m:sub>
              </m:sSub>
            </m:num>
            <m:den>
              <m:sSub>
                <m:sSubPr>
                  <m:ctrlPr>
                    <w:rPr>
                      <w:rFonts w:ascii="Cambria Math" w:hAnsi="Cambria Math"/>
                    </w:rPr>
                  </m:ctrlPr>
                </m:sSubPr>
                <m:e>
                  <m:r>
                    <m:rPr>
                      <m:sty m:val="p"/>
                    </m:rPr>
                    <w:rPr>
                      <w:rFonts w:ascii="Cambria Math" w:hAnsi="Cambria Math"/>
                    </w:rPr>
                    <m:t>r</m:t>
                  </m:r>
                </m:e>
                <m:sub>
                  <m:r>
                    <w:rPr>
                      <w:rFonts w:ascii="Cambria Math" w:hAnsi="Cambria Math"/>
                    </w:rPr>
                    <m:t>cvd,t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r</m:t>
                  </m:r>
                </m:e>
                <m:sub>
                  <m:r>
                    <w:rPr>
                      <w:rFonts w:ascii="Cambria Math" w:hAnsi="Cambria Math"/>
                    </w:rPr>
                    <m:t>comp,t</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(S</m:t>
              </m:r>
            </m:e>
            <m:sub>
              <m:r>
                <w:rPr>
                  <w:rFonts w:ascii="Cambria Math" w:hAnsi="Cambria Math"/>
                </w:rPr>
                <m:t>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S</m:t>
              </m:r>
            </m:e>
            <m:sub>
              <m:r>
                <w:rPr>
                  <w:rFonts w:ascii="Cambria Math" w:hAnsi="Cambria Math"/>
                </w:rPr>
                <m:t>t+1</m:t>
              </m:r>
            </m:sub>
          </m:sSub>
          <m:r>
            <m:rPr>
              <m:sty m:val="p"/>
            </m:rPr>
            <w:rPr>
              <w:rFonts w:ascii="Cambria Math" w:hAnsi="Cambria Math"/>
            </w:rPr>
            <m:t>)</m:t>
          </m:r>
        </m:oMath>
      </m:oMathPara>
    </w:p>
    <w:p w:rsidR="00C26AF6" w:rsidRPr="00B2496F" w:rsidRDefault="00C26AF6" w:rsidP="00225592">
      <w:pPr>
        <w:pStyle w:val="dGewonetekst"/>
      </w:pPr>
      <w:r w:rsidRPr="00B2496F">
        <w:t>The 10-year cumulative cause-specific risk was calculated as the sum of the 1-year cause-specific risks:</w:t>
      </w:r>
    </w:p>
    <w:p w:rsidR="00C26AF6" w:rsidRPr="00B2496F" w:rsidRDefault="00795EEF" w:rsidP="00225592">
      <w:pPr>
        <w:pStyle w:val="dGewonetekst"/>
      </w:pPr>
      <m:oMathPara>
        <m:oMath>
          <m:sSub>
            <m:sSubPr>
              <m:ctrlPr>
                <w:rPr>
                  <w:rFonts w:ascii="Cambria Math" w:hAnsi="Cambria Math"/>
                </w:rPr>
              </m:ctrlPr>
            </m:sSubPr>
            <m:e>
              <m:r>
                <m:rPr>
                  <m:sty m:val="p"/>
                </m:rPr>
                <w:rPr>
                  <w:rFonts w:ascii="Cambria Math" w:hAnsi="Cambria Math"/>
                </w:rPr>
                <m:t>CVrisk</m:t>
              </m:r>
            </m:e>
            <m:sub>
              <m:r>
                <w:rPr>
                  <w:rFonts w:ascii="Cambria Math" w:hAnsi="Cambria Math"/>
                </w:rPr>
                <m:t>t</m:t>
              </m:r>
              <m:r>
                <m:rPr>
                  <m:sty m:val="p"/>
                </m:rPr>
                <w:rPr>
                  <w:rFonts w:ascii="Cambria Math" w:hAnsi="Cambria Math"/>
                </w:rPr>
                <m:t>1-10</m:t>
              </m:r>
            </m:sub>
          </m:sSub>
          <m:r>
            <m:rPr>
              <m:sty m:val="p"/>
            </m:rPr>
            <w:rPr>
              <w:rFonts w:ascii="Cambria Math" w:hAnsi="Cambria Math"/>
            </w:rPr>
            <m:t xml:space="preserve">= </m:t>
          </m:r>
          <m:nary>
            <m:naryPr>
              <m:chr m:val="∑"/>
              <m:limLoc m:val="undOvr"/>
              <m:supHide m:val="1"/>
              <m:ctrlPr>
                <w:rPr>
                  <w:rFonts w:ascii="Cambria Math" w:hAnsi="Cambria Math"/>
                </w:rPr>
              </m:ctrlPr>
            </m:naryPr>
            <m:sub>
              <m:r>
                <m:rPr>
                  <m:sty m:val="p"/>
                </m:rPr>
                <w:rPr>
                  <w:rFonts w:ascii="Cambria Math" w:hAnsi="Cambria Math"/>
                </w:rPr>
                <m:t>1-10</m:t>
              </m:r>
            </m:sub>
            <m:sup/>
            <m:e>
              <m:sSub>
                <m:sSubPr>
                  <m:ctrlPr>
                    <w:rPr>
                      <w:rFonts w:ascii="Cambria Math" w:hAnsi="Cambria Math"/>
                    </w:rPr>
                  </m:ctrlPr>
                </m:sSubPr>
                <m:e>
                  <m:r>
                    <w:rPr>
                      <w:rFonts w:ascii="Cambria Math" w:hAnsi="Cambria Math"/>
                    </w:rPr>
                    <m:t>CVrisk</m:t>
                  </m:r>
                </m:e>
                <m:sub>
                  <m:r>
                    <w:rPr>
                      <w:rFonts w:ascii="Cambria Math" w:hAnsi="Cambria Math"/>
                    </w:rPr>
                    <m:t>t</m:t>
                  </m:r>
                </m:sub>
              </m:sSub>
            </m:e>
          </m:nary>
        </m:oMath>
      </m:oMathPara>
    </w:p>
    <w:p w:rsidR="00301BBA" w:rsidRPr="00B2496F" w:rsidRDefault="003C2BA4" w:rsidP="003B2F2B">
      <w:pPr>
        <w:pStyle w:val="cSubkop2"/>
      </w:pPr>
      <w:r w:rsidRPr="00B2496F">
        <w:lastRenderedPageBreak/>
        <w:t xml:space="preserve">Box 3: </w:t>
      </w:r>
      <w:r w:rsidR="00301BBA" w:rsidRPr="00B2496F">
        <w:t xml:space="preserve">Estimation of Multipliers to convert mortality to incidence estimates in each risk region </w:t>
      </w:r>
    </w:p>
    <w:p w:rsidR="00C26AF6" w:rsidRPr="00B2496F" w:rsidRDefault="00C26AF6" w:rsidP="00225592">
      <w:pPr>
        <w:pStyle w:val="dGewonetekst"/>
      </w:pPr>
      <w:r w:rsidRPr="00B2496F">
        <w:t>To convert 10-year mortality estimates to incidence estimates,  age- and sex-specific multiplication factors were defined as:</w:t>
      </w:r>
    </w:p>
    <w:p w:rsidR="00C26AF6" w:rsidRPr="00B2496F" w:rsidRDefault="00795EEF" w:rsidP="00225592">
      <w:pPr>
        <w:pStyle w:val="dGewonetekst"/>
      </w:pPr>
      <m:oMathPara>
        <m:oMath>
          <m:f>
            <m:fPr>
              <m:ctrlPr>
                <w:rPr>
                  <w:rFonts w:ascii="Cambria Math" w:hAnsi="Cambria Math"/>
                </w:rPr>
              </m:ctrlPr>
            </m:fPr>
            <m:num>
              <m:sSub>
                <m:sSubPr>
                  <m:ctrlPr>
                    <w:rPr>
                      <w:rFonts w:ascii="Cambria Math" w:hAnsi="Cambria Math"/>
                    </w:rPr>
                  </m:ctrlPr>
                </m:sSubPr>
                <m:e>
                  <m:r>
                    <w:rPr>
                      <w:rFonts w:ascii="Cambria Math" w:hAnsi="Cambria Math"/>
                    </w:rPr>
                    <m:t>Cumulative</m:t>
                  </m:r>
                  <m:r>
                    <m:rPr>
                      <m:sty m:val="p"/>
                    </m:rPr>
                    <w:rPr>
                      <w:rFonts w:ascii="Cambria Math" w:hAnsi="Cambria Math"/>
                    </w:rPr>
                    <m:t xml:space="preserve"> 10 </m:t>
                  </m:r>
                  <m:r>
                    <w:rPr>
                      <w:rFonts w:ascii="Cambria Math" w:hAnsi="Cambria Math"/>
                    </w:rPr>
                    <m:t>year</m:t>
                  </m:r>
                  <m:r>
                    <m:rPr>
                      <m:sty m:val="p"/>
                    </m:rPr>
                    <w:rPr>
                      <w:rFonts w:ascii="Cambria Math" w:hAnsi="Cambria Math"/>
                    </w:rPr>
                    <m:t xml:space="preserve"> </m:t>
                  </m:r>
                  <m:r>
                    <w:rPr>
                      <w:rFonts w:ascii="Cambria Math" w:hAnsi="Cambria Math"/>
                    </w:rPr>
                    <m:t>incindence</m:t>
                  </m:r>
                  <m:r>
                    <m:rPr>
                      <m:sty m:val="p"/>
                    </m:rPr>
                    <w:rPr>
                      <w:rFonts w:ascii="Cambria Math" w:hAnsi="Cambria Math"/>
                    </w:rPr>
                    <m:t xml:space="preserve"> </m:t>
                  </m:r>
                  <m:r>
                    <w:rPr>
                      <w:rFonts w:ascii="Cambria Math" w:hAnsi="Cambria Math"/>
                    </w:rPr>
                    <m:t>total</m:t>
                  </m:r>
                  <m:r>
                    <m:rPr>
                      <m:sty m:val="p"/>
                    </m:rPr>
                    <w:rPr>
                      <w:rFonts w:ascii="Cambria Math" w:hAnsi="Cambria Math"/>
                    </w:rPr>
                    <m:t xml:space="preserve"> </m:t>
                  </m:r>
                  <m:r>
                    <w:rPr>
                      <w:rFonts w:ascii="Cambria Math" w:hAnsi="Cambria Math"/>
                    </w:rPr>
                    <m:t>CV</m:t>
                  </m:r>
                  <m:r>
                    <m:rPr>
                      <m:sty m:val="p"/>
                    </m:rPr>
                    <w:rPr>
                      <w:rFonts w:ascii="Cambria Math" w:hAnsi="Cambria Math"/>
                    </w:rPr>
                    <m:t xml:space="preserve"> </m:t>
                  </m:r>
                  <m:r>
                    <w:rPr>
                      <w:rFonts w:ascii="Cambria Math" w:hAnsi="Cambria Math"/>
                    </w:rPr>
                    <m:t>events</m:t>
                  </m:r>
                </m:e>
                <m:sub>
                  <m:r>
                    <w:rPr>
                      <w:rFonts w:ascii="Cambria Math" w:hAnsi="Cambria Math"/>
                    </w:rPr>
                    <m:t>without</m:t>
                  </m:r>
                  <m:r>
                    <m:rPr>
                      <m:sty m:val="p"/>
                    </m:rPr>
                    <w:rPr>
                      <w:rFonts w:ascii="Cambria Math" w:hAnsi="Cambria Math"/>
                    </w:rPr>
                    <m:t xml:space="preserve"> </m:t>
                  </m:r>
                  <m:r>
                    <w:rPr>
                      <w:rFonts w:ascii="Cambria Math" w:hAnsi="Cambria Math"/>
                    </w:rPr>
                    <m:t>prior</m:t>
                  </m:r>
                  <m:r>
                    <m:rPr>
                      <m:sty m:val="p"/>
                    </m:rPr>
                    <w:rPr>
                      <w:rFonts w:ascii="Cambria Math" w:hAnsi="Cambria Math"/>
                    </w:rPr>
                    <m:t xml:space="preserve"> </m:t>
                  </m:r>
                  <m:r>
                    <w:rPr>
                      <w:rFonts w:ascii="Cambria Math" w:hAnsi="Cambria Math"/>
                    </w:rPr>
                    <m:t>CVD</m:t>
                  </m:r>
                </m:sub>
              </m:sSub>
            </m:num>
            <m:den>
              <m:sSub>
                <m:sSubPr>
                  <m:ctrlPr>
                    <w:rPr>
                      <w:rFonts w:ascii="Cambria Math" w:hAnsi="Cambria Math"/>
                    </w:rPr>
                  </m:ctrlPr>
                </m:sSubPr>
                <m:e>
                  <m:r>
                    <w:rPr>
                      <w:rFonts w:ascii="Cambria Math" w:hAnsi="Cambria Math"/>
                    </w:rPr>
                    <m:t>Cumulative</m:t>
                  </m:r>
                  <m:r>
                    <m:rPr>
                      <m:sty m:val="p"/>
                    </m:rPr>
                    <w:rPr>
                      <w:rFonts w:ascii="Cambria Math" w:hAnsi="Cambria Math"/>
                    </w:rPr>
                    <m:t xml:space="preserve"> 10 </m:t>
                  </m:r>
                  <m:r>
                    <w:rPr>
                      <w:rFonts w:ascii="Cambria Math" w:hAnsi="Cambria Math"/>
                    </w:rPr>
                    <m:t>year</m:t>
                  </m:r>
                  <m:r>
                    <m:rPr>
                      <m:sty m:val="p"/>
                    </m:rPr>
                    <w:rPr>
                      <w:rFonts w:ascii="Cambria Math" w:hAnsi="Cambria Math"/>
                    </w:rPr>
                    <m:t xml:space="preserve"> </m:t>
                  </m:r>
                  <m:r>
                    <w:rPr>
                      <w:rFonts w:ascii="Cambria Math" w:hAnsi="Cambria Math"/>
                    </w:rPr>
                    <m:t>incindence</m:t>
                  </m:r>
                  <m:r>
                    <m:rPr>
                      <m:sty m:val="p"/>
                    </m:rPr>
                    <w:rPr>
                      <w:rFonts w:ascii="Cambria Math" w:hAnsi="Cambria Math"/>
                    </w:rPr>
                    <m:t xml:space="preserve"> </m:t>
                  </m:r>
                  <m:r>
                    <w:rPr>
                      <w:rFonts w:ascii="Cambria Math" w:hAnsi="Cambria Math"/>
                    </w:rPr>
                    <m:t>fatal</m:t>
                  </m:r>
                  <m:r>
                    <m:rPr>
                      <m:sty m:val="p"/>
                    </m:rPr>
                    <w:rPr>
                      <w:rFonts w:ascii="Cambria Math" w:hAnsi="Cambria Math"/>
                    </w:rPr>
                    <m:t xml:space="preserve"> </m:t>
                  </m:r>
                  <m:r>
                    <w:rPr>
                      <w:rFonts w:ascii="Cambria Math" w:hAnsi="Cambria Math"/>
                    </w:rPr>
                    <m:t>CV</m:t>
                  </m:r>
                  <m:r>
                    <m:rPr>
                      <m:sty m:val="p"/>
                    </m:rPr>
                    <w:rPr>
                      <w:rFonts w:ascii="Cambria Math" w:hAnsi="Cambria Math"/>
                    </w:rPr>
                    <m:t xml:space="preserve"> </m:t>
                  </m:r>
                  <m:r>
                    <w:rPr>
                      <w:rFonts w:ascii="Cambria Math" w:hAnsi="Cambria Math"/>
                    </w:rPr>
                    <m:t>events</m:t>
                  </m:r>
                </m:e>
                <m:sub>
                  <m:r>
                    <w:rPr>
                      <w:rFonts w:ascii="Cambria Math" w:hAnsi="Cambria Math"/>
                    </w:rPr>
                    <m:t>entire</m:t>
                  </m:r>
                  <m:r>
                    <m:rPr>
                      <m:sty m:val="p"/>
                    </m:rPr>
                    <w:rPr>
                      <w:rFonts w:ascii="Cambria Math" w:hAnsi="Cambria Math"/>
                    </w:rPr>
                    <m:t xml:space="preserve"> </m:t>
                  </m:r>
                  <m:r>
                    <w:rPr>
                      <w:rFonts w:ascii="Cambria Math" w:hAnsi="Cambria Math"/>
                    </w:rPr>
                    <m:t>population</m:t>
                  </m:r>
                </m:sub>
              </m:sSub>
            </m:den>
          </m:f>
        </m:oMath>
      </m:oMathPara>
    </w:p>
    <w:p w:rsidR="00C26AF6" w:rsidRPr="00B2496F" w:rsidRDefault="00C26AF6" w:rsidP="00225592">
      <w:pPr>
        <w:pStyle w:val="dGewonetekst"/>
      </w:pPr>
      <w:r w:rsidRPr="00B2496F">
        <w:t xml:space="preserve">These allowed the population level mortality statistics, which are calculated among the whole population, regardless of prior disease status, to be converted into first event incidence estimates, representative of the target primary prevention population (those without prior CVD). Multiplication factors were derived in Clinical Practice Research Datalink </w:t>
      </w:r>
      <w:r w:rsidRPr="00B2496F">
        <w:fldChar w:fldCharType="begin" w:fldLock="1"/>
      </w:r>
      <w:r w:rsidR="00365CB9" w:rsidRPr="00B2496F">
        <w:instrText>ADDIN CSL_CITATION {"citationItems":[{"id":"ITEM-1","itemData":{"DOI":"10.1093/ije/dyv098","ISSN":"14643685","abstract":"© The Author 2015. Published by Oxford University Press on behalf of the International Epidemiological Association.The Clinical Practice Research Datalink (CPRD) is an ongoing primary care database of anonymised medical records from general practitioners, with coverage of over 11.3 million patients from 674 practices in the UK. With 4.4 million active (alive, currently registered) patients meeting quality criteria, approximately 6.9% of the UK population are included and patients are broadly representative of the UK general population in terms of age, sex and ethnicity. General practitioners are the gatekeepers of primary care and specialist referrals in the UK. The CPRD primary care database is therefore a rich source of health data for research, including data on demographics, symptoms, tests, diagnoses, therapies, health-related behaviours and referrals to secondary care. For over half of patients, linkage with datasets from secondary care, disease-specific cohorts and mortality records enhance the range of data available for research. The CPRD is very widely used internationally for epidemiological research and has been used to produce over 1000 research studies, published in peer-reviewed journals across a broad range of health outcomes. However, researchers must be aware of the complexity of routinely collected electronic health records, including ways to manage variable completeness, misclassification and development of disease definitions for research.","author":[{"dropping-particle":"","family":"Herrett","given":"Emily","non-dropping-particle":"","parse-names":false,"suffix":""},{"dropping-particle":"","family":"Gallagher","given":"Arlene M.","non-dropping-particle":"","parse-names":false,"suffix":""},{"dropping-particle":"","family":"Bhaskaran","given":"Krishnan","non-dropping-particle":"","parse-names":false,"suffix":""},{"dropping-particle":"","family":"Forbes","given":"Harriet","non-dropping-particle":"","parse-names":false,"suffix":""},{"dropping-particle":"","family":"Mathur","given":"Rohini","non-dropping-particle":"","parse-names":false,"suffix":""},{"dropping-particle":"van","family":"Staa","given":"Tjeerd","non-dropping-particle":"","parse-names":false,"suffix":""},{"dropping-particle":"","family":"Smeeth","given":"Liam","non-dropping-particle":"","parse-names":false,"suffix":""}],"container-title":"International Journal of Epidemiology","id":"ITEM-1","issue":"3","issued":{"date-parts":[["2015","6"]]},"page":"827-836","title":"Data Resource Profile: Clinical Practice Research Datalink (CPRD)","type":"article-journal","volume":"44"},"uris":["http://www.mendeley.com/documents/?uuid=01e73d89-0f98-475f-9ee4-61101642951a","http://www.mendeley.com/documents/?uuid=9c8f398c-0447-40b9-89a2-616962326d5e"]}],"mendeley":{"formattedCitation":"&lt;sup&gt;9&lt;/sup&gt;","plainTextFormattedCitation":"9","previouslyFormattedCitation":"(9)"},"properties":{"noteIndex":0},"schema":"https://github.com/citation-style-language/schema/raw/master/csl-citation.json"}</w:instrText>
      </w:r>
      <w:r w:rsidRPr="00B2496F">
        <w:fldChar w:fldCharType="separate"/>
      </w:r>
      <w:r w:rsidR="00365CB9" w:rsidRPr="00B2496F">
        <w:rPr>
          <w:noProof/>
          <w:vertAlign w:val="superscript"/>
        </w:rPr>
        <w:t>9</w:t>
      </w:r>
      <w:r w:rsidRPr="00B2496F">
        <w:fldChar w:fldCharType="end"/>
      </w:r>
      <w:r w:rsidRPr="00B2496F">
        <w:t xml:space="preserve"> (CPRD; n = 2,589,074) for the low risk region, the Swedish Patient Registry </w:t>
      </w:r>
      <w:r w:rsidRPr="00B2496F">
        <w:fldChar w:fldCharType="begin" w:fldLock="1"/>
      </w:r>
      <w:r w:rsidR="00365CB9" w:rsidRPr="00B2496F">
        <w:instrText>ADDIN CSL_CITATION {"citationItems":[{"id":"ITEM-1","itemData":{"DOI":"10.1186/1471-2458-11-450","ISSN":"1471-2458","PMID":"21658213","abstract":"Background: The Swedish National Inpatient Register (IPR), also called the Hospital Discharge Register, is a principal source of data for numerous research projects. The IPR is part of the National Patient Register. The Swedish IPR was launched in 1964 (psychiatric diagnoses from 1973) but complete coverage did not begin until 1987. Currently, more than 99% of all somatic (including surgery) and psychiatric hospital discharges are registered in the IPR. A previous validation of the IPR by the National Board of Health and Welfare showed that 85-95% of all diagnoses in the IPR are valid. The current paper describes the history, structure, coverage and quality of the Swedish IPR. Methods and results. In January 2010, we searched the medical databases, Medline and HighWire, using the search algorithm \"validat* (inpatient or hospital discharge) Sweden\". We also contacted 218 members of the Swedish Society of Epidemiology and an additional 201 medical researchers to identify papers that had validated the IPR. In total, 132 papers were reviewed. The positive predictive value (PPV) was found to differ between diagnoses in the IPR, but is generally 85-95%. Conclusions: In conclusion, the validity of the Swedish IPR is high for many but not all diagnoses. The long follow-up makes the register particularly suitable for large-scale population-based research, but for certain research areas the use of other health registers, such as the Swedish Cancer Register, may be more suitable. © 2011 Ludvigsson et al; licensee BioMed Central Ltd.","author":[{"dropping-particle":"","family":"Ludvigsson","given":"Jonas F.","non-dropping-particle":"","parse-names":false,"suffix":""},{"dropping-particle":"","family":"Andersson","given":"Eva","non-dropping-particle":"","parse-names":false,"suffix":""},{"dropping-particle":"","family":"Ekbom","given":"Anders","non-dropping-particle":"","parse-names":false,"suffix":""},{"dropping-particle":"","family":"Feychting","given":"Maria","non-dropping-particle":"","parse-names":false,"suffix":""},{"dropping-particle":"","family":"Kim","given":"Jeong-Lim","non-dropping-particle":"","parse-names":false,"suffix":""},{"dropping-particle":"","family":"Reuterwall","given":"Christina","non-dropping-particle":"","parse-names":false,"suffix":""},{"dropping-particle":"","family":"Heurgren","given":"Mona","non-dropping-particle":"","parse-names":false,"suffix":""},{"dropping-particle":"","family":"Olausson","given":"Petra Otterblad","non-dropping-particle":"","parse-names":false,"suffix":""}],"container-title":"BMC Public Health","id":"ITEM-1","issue":"1","issued":{"date-parts":[["2011","12"]]},"page":"450","publisher":"BioMed Central Ltd","title":"External review and validation of the Swedish national inpatient register","type":"article-journal","volume":"11"},"uris":["http://www.mendeley.com/documents/?uuid=b2109261-c9cc-4574-b776-05b786aadb4e","http://www.mendeley.com/documents/?uuid=cba7af55-8f01-477a-8d1d-419f8d5837f1"]}],"mendeley":{"formattedCitation":"&lt;sup&gt;19&lt;/sup&gt;","plainTextFormattedCitation":"19","previouslyFormattedCitation":"(19)"},"properties":{"noteIndex":0},"schema":"https://github.com/citation-style-language/schema/raw/master/csl-citation.json"}</w:instrText>
      </w:r>
      <w:r w:rsidRPr="00B2496F">
        <w:fldChar w:fldCharType="separate"/>
      </w:r>
      <w:r w:rsidR="00365CB9" w:rsidRPr="00B2496F">
        <w:rPr>
          <w:noProof/>
          <w:vertAlign w:val="superscript"/>
        </w:rPr>
        <w:t>19</w:t>
      </w:r>
      <w:r w:rsidRPr="00B2496F">
        <w:fldChar w:fldCharType="end"/>
      </w:r>
      <w:r w:rsidRPr="00B2496F">
        <w:t xml:space="preserve"> for the moderate risk region (n = 5,252,592), the Estonian biobank </w:t>
      </w:r>
      <w:r w:rsidRPr="00B2496F">
        <w:fldChar w:fldCharType="begin" w:fldLock="1"/>
      </w:r>
      <w:r w:rsidR="00365CB9" w:rsidRPr="00B2496F">
        <w:instrText>ADDIN CSL_CITATION {"citationItems":[{"id":"ITEM-1","itemData":{"DOI":"10.1093/ije/dyt268","ISSN":"0300-5771","abstract":"The Estonian Biobank cohort is a volunteer-based sample of the Estonian resident adult population (aged ≥18 years). The current number of participants-close to 52000--represents a large proportion, 5%, of the Estonian adult population, making it ideally suited to population-based studies. General practitioners (GPs) and medical personnel in the special recruitment offices have recruited participants throughout the country. At baseline, the GPs performed a standardized health examination of the participants, who also donated blood samples for DNA, white blood cells and plasma tests and filled out a 16-module questionnaire on health-related topics such as lifestyle, diet and clinical diagnoses described in WHO ICD-10. A significant part of the cohort has whole genome sequencing (100), genome-wide single nucleotide polymorphism (SNP) array data (20 000) and/or NMR metabolome data (11 000) available (http://www.geenivaramu.ee/for-scientists/data-release/). The data are continuously updated through periodical linking to national electronic databases and registries. A part of the cohort has been recontacted for follow-up purposes and resampling, and targeted invitations are possible for specific purposes, for example people with a specific diagnosis. The Estonian Genome Center of the University of Tartu is actively collaborating with many universities, research institutes and consortia and encourages fellow scientists worldwide to co-initiate new academic or industrial joint projects with us.","author":[{"dropping-particle":"","family":"Leitsalu","given":"Liis","non-dropping-particle":"","parse-names":false,"suffix":""},{"dropping-particle":"","family":"Haller","given":"Toomas","non-dropping-particle":"","parse-names":false,"suffix":""},{"dropping-particle":"","family":"Esko","given":"Tõnu","non-dropping-particle":"","parse-names":false,"suffix":""},{"dropping-particle":"","family":"Tammesoo","given":"Mari-Liis","non-dropping-particle":"","parse-names":false,"suffix":""},{"dropping-particle":"","family":"Alavere","given":"Helene","non-dropping-particle":"","parse-names":false,"suffix":""},{"dropping-particle":"","family":"Snieder","given":"Harold","non-dropping-particle":"","parse-names":false,"suffix":""},{"dropping-particle":"","family":"Perola","given":"Markus","non-dropping-particle":"","parse-names":false,"suffix":""},{"dropping-particle":"","family":"Ng","given":"Pauline C.","non-dropping-particle":"","parse-names":false,"suffix":""},{"dropping-particle":"","family":"Mägi","given":"Reedik","non-dropping-particle":"","parse-names":false,"suffix":""},{"dropping-particle":"","family":"Milani","given":"Lili","non-dropping-particle":"","parse-names":false,"suffix":""},{"dropping-particle":"","family":"Fischer","given":"Krista","non-dropping-particle":"","parse-names":false,"suffix":""},{"dropping-particle":"","family":"Metspalu","given":"Andres","non-dropping-particle":"","parse-names":false,"suffix":""}],"container-title":"International Journal of Epidemiology","id":"ITEM-1","issue":"4","issued":{"date-parts":[["2015","8"]]},"page":"1137-1147","title":"Cohort Profile: Estonian Biobank of the Estonian Genome Center, University of Tartu","type":"article-journal","volume":"44"},"uris":["http://www.mendeley.com/documents/?uuid=cd0a688d-e528-4b61-95e5-9d7c348da289","http://www.mendeley.com/documents/?uuid=bd693e17-aebe-42eb-a9b0-4d363ef1c2ba"]}],"mendeley":{"formattedCitation":"&lt;sup&gt;20&lt;/sup&gt;","plainTextFormattedCitation":"20","previouslyFormattedCitation":"(20)"},"properties":{"noteIndex":0},"schema":"https://github.com/citation-style-language/schema/raw/master/csl-citation.json"}</w:instrText>
      </w:r>
      <w:r w:rsidRPr="00B2496F">
        <w:fldChar w:fldCharType="separate"/>
      </w:r>
      <w:r w:rsidR="00365CB9" w:rsidRPr="00B2496F">
        <w:rPr>
          <w:noProof/>
          <w:vertAlign w:val="superscript"/>
        </w:rPr>
        <w:t>20</w:t>
      </w:r>
      <w:r w:rsidRPr="00B2496F">
        <w:fldChar w:fldCharType="end"/>
      </w:r>
      <w:r w:rsidRPr="00B2496F">
        <w:t xml:space="preserve"> (n = 67,474) for the high risk region, and the HAPIEE study </w:t>
      </w:r>
      <w:r w:rsidRPr="00B2496F">
        <w:fldChar w:fldCharType="begin" w:fldLock="1"/>
      </w:r>
      <w:r w:rsidR="00365CB9" w:rsidRPr="00B2496F">
        <w:instrText>ADDIN CSL_CITATION {"citationItems":[{"id":"ITEM-1","itemData":{"DOI":"10.1186/1471-2458-6-255","ISSN":"1471-2458","PMID":"17049075","abstract":"Background: Over the last five decades, a wide gap in mortality opened between western and eastern Europe; this gap increased further after the dramatic fluctuations in mortality in the former Soviet Union (FSU) in the 1990s. Recent rapid increases in mortality among lower socioeconomic groups in eastern Europe suggests that socioeconomic factors are powerful determinants of mortality in these populations but the more proximal factors linking the social conditions with health remain unclear. The HAPIEE (Health, Alcohol and Psychosocial factors In Eastern Europe) study is a prospective cohort study designed to investigate the effect of classical and nonconventional risk factors and social and psychosocial factors on cardiovascular and other non-communicable diseases in eastern Europe and the FSU. The main hypotheses of the HAPIEE study relate to the role of alcohol, nutrition and psychosocial factors. Methods and design: The HAPIEE study comprises four cohorts in Russia, Poland, the Czech Republic and Lithuania; each consists of a random sample of men and women aged 45-69 years old at baseline, stratified by gender and 5 year age groups, and selected from population registers. The total planned sample size is 36,500 individuals. Baseline information from the Czech Republic, Russia and Poland was collected in 2002-2005 and includes data on health, lifestyle, diet (food frequency), socioeconomic circumstances and psychosocial factors. A short examination included measurement of anthropometric parameters, blood pressure, lung function and cognitive function, and a fasting venous blood sample. Re-examination of the cohorts in 2006-2008 focuses on healthy ageing and economic well-being using face-to-face computer assisted personal interviews. Recruitment of the Lithuanian cohort is ongoing, with baseline and re-examination data being collected simultaneously. All cohorts are being followed up for mortality and non-fatal cardiovascular events. Discussion: The HAPIEE study will provide important new insights into social, behavioural and biological factors influencing mortality and cardiovascular risk in the region. © 2006 Peasey et al; licensee BioMed Central Ltd.","author":[{"dropping-particle":"","family":"Peasey","given":"Anne","non-dropping-particle":"","parse-names":false,"suffix":""},{"dropping-particle":"","family":"Bobak","given":"Martin","non-dropping-particle":"","parse-names":false,"suffix":""},{"dropping-particle":"","family":"Kubinova","given":"Ruzena","non-dropping-particle":"","parse-names":false,"suffix":""},{"dropping-particle":"","family":"Malyutina","given":"Sofia","non-dropping-particle":"","parse-names":false,"suffix":""},{"dropping-particle":"","family":"Pajak","given":"Andrzej","non-dropping-particle":"","parse-names":false,"suffix":""},{"dropping-particle":"","family":"Tamosiunas","given":"Abdonas","non-dropping-particle":"","parse-names":false,"suffix":""},{"dropping-particle":"","family":"Pikhart","given":"Hynek","non-dropping-particle":"","parse-names":false,"suffix":""},{"dropping-particle":"","family":"Nicholson","given":"Amanda","non-dropping-particle":"","parse-names":false,"suffix":""},{"dropping-particle":"","family":"Marmot","given":"Michael","non-dropping-particle":"","parse-names":false,"suffix":""}],"container-title":"BMC Public Health","id":"ITEM-1","issue":"1","issued":{"date-parts":[["2006","12"]]},"page":"255","title":"Determinants of cardiovascular disease and other non-communicable diseases in Central and Eastern Europe: Rationale and design of the HAPIEE study","type":"article-journal","volume":"6"},"uris":["http://www.mendeley.com/documents/?uuid=00cc7e6f-3d86-4046-9ec0-ca816dd40cce","http://www.mendeley.com/documents/?uuid=b04409d8-0ca3-4270-b693-a3ead3801ddc"]}],"mendeley":{"formattedCitation":"&lt;sup&gt;21&lt;/sup&gt;","plainTextFormattedCitation":"21","previouslyFormattedCitation":"(21)"},"properties":{"noteIndex":0},"schema":"https://github.com/citation-style-language/schema/raw/master/csl-citation.json"}</w:instrText>
      </w:r>
      <w:r w:rsidRPr="00B2496F">
        <w:fldChar w:fldCharType="separate"/>
      </w:r>
      <w:r w:rsidR="00365CB9" w:rsidRPr="00B2496F">
        <w:rPr>
          <w:noProof/>
          <w:vertAlign w:val="superscript"/>
        </w:rPr>
        <w:t>21</w:t>
      </w:r>
      <w:r w:rsidRPr="00B2496F">
        <w:fldChar w:fldCharType="end"/>
      </w:r>
      <w:r w:rsidRPr="00B2496F">
        <w:t xml:space="preserve"> (Lithuania + Russia, n = 16,521) for the very high risk region.  In each cohort and sex, two Fine and Gray models, adjusted for baseline age and age-squared were fit: one modelling 1</w:t>
      </w:r>
      <w:r w:rsidRPr="00B2496F">
        <w:rPr>
          <w:vertAlign w:val="superscript"/>
        </w:rPr>
        <w:t>st</w:t>
      </w:r>
      <w:r w:rsidRPr="00B2496F">
        <w:t xml:space="preserve"> CVD event as the outcome and using only individuals without prior CVD, and one with fatal CVD as the outcome and including all participants (regardless of  prior disease). The relevant cumulative 10-year incidence was then </w:t>
      </w:r>
      <w:r w:rsidR="00B17013" w:rsidRPr="00B2496F">
        <w:t>estimated</w:t>
      </w:r>
      <w:r w:rsidRPr="00B2496F">
        <w:t xml:space="preserve"> using each model, for each age group, and   age group-specific 10-year CVD event risk was then estimated as follows:</w:t>
      </w:r>
    </w:p>
    <w:p w:rsidR="00C26AF6" w:rsidRPr="00B2496F" w:rsidRDefault="00795EEF" w:rsidP="00225592">
      <w:pPr>
        <w:pStyle w:val="dGewonetekst"/>
      </w:pPr>
      <m:oMathPara>
        <m:oMath>
          <m:sSub>
            <m:sSubPr>
              <m:ctrlPr>
                <w:rPr>
                  <w:rFonts w:ascii="Cambria Math" w:hAnsi="Cambria Math"/>
                </w:rPr>
              </m:ctrlPr>
            </m:sSubPr>
            <m:e>
              <m:r>
                <m:rPr>
                  <m:sty m:val="p"/>
                </m:rPr>
                <w:rPr>
                  <w:rFonts w:ascii="Cambria Math" w:hAnsi="Cambria Math"/>
                </w:rPr>
                <m:t>CVDrisk</m:t>
              </m:r>
            </m:e>
            <m:sub>
              <m:r>
                <w:rPr>
                  <w:rFonts w:ascii="Cambria Math" w:hAnsi="Cambria Math"/>
                </w:rPr>
                <m:t>total</m:t>
              </m:r>
              <m:r>
                <m:rPr>
                  <m:sty m:val="p"/>
                </m:rPr>
                <w:rPr>
                  <w:rFonts w:ascii="Cambria Math" w:hAnsi="Cambria Math"/>
                </w:rPr>
                <m:t>, 10</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Cumulative</m:t>
                  </m:r>
                  <m:r>
                    <m:rPr>
                      <m:sty m:val="p"/>
                    </m:rPr>
                    <w:rPr>
                      <w:rFonts w:ascii="Cambria Math" w:hAnsi="Cambria Math"/>
                    </w:rPr>
                    <m:t xml:space="preserve"> </m:t>
                  </m:r>
                  <m:r>
                    <w:rPr>
                      <w:rFonts w:ascii="Cambria Math" w:hAnsi="Cambria Math"/>
                    </w:rPr>
                    <m:t>incindence</m:t>
                  </m:r>
                  <m:r>
                    <m:rPr>
                      <m:sty m:val="p"/>
                    </m:rPr>
                    <w:rPr>
                      <w:rFonts w:ascii="Cambria Math" w:hAnsi="Cambria Math"/>
                    </w:rPr>
                    <m:t xml:space="preserve"> </m:t>
                  </m:r>
                  <m:r>
                    <w:rPr>
                      <w:rFonts w:ascii="Cambria Math" w:hAnsi="Cambria Math"/>
                    </w:rPr>
                    <m:t>fatal</m:t>
                  </m:r>
                  <m:r>
                    <m:rPr>
                      <m:sty m:val="p"/>
                    </m:rPr>
                    <w:rPr>
                      <w:rFonts w:ascii="Cambria Math" w:hAnsi="Cambria Math"/>
                    </w:rPr>
                    <m:t>+</m:t>
                  </m:r>
                  <m:r>
                    <w:rPr>
                      <w:rFonts w:ascii="Cambria Math" w:hAnsi="Cambria Math"/>
                    </w:rPr>
                    <m:t>nonfatal</m:t>
                  </m:r>
                  <m:r>
                    <m:rPr>
                      <m:sty m:val="p"/>
                    </m:rPr>
                    <w:rPr>
                      <w:rFonts w:ascii="Cambria Math" w:hAnsi="Cambria Math"/>
                    </w:rPr>
                    <m:t xml:space="preserve"> </m:t>
                  </m:r>
                  <m:r>
                    <w:rPr>
                      <w:rFonts w:ascii="Cambria Math" w:hAnsi="Cambria Math"/>
                    </w:rPr>
                    <m:t>CV</m:t>
                  </m:r>
                  <m:r>
                    <m:rPr>
                      <m:sty m:val="p"/>
                    </m:rPr>
                    <w:rPr>
                      <w:rFonts w:ascii="Cambria Math" w:hAnsi="Cambria Math"/>
                    </w:rPr>
                    <m:t xml:space="preserve"> </m:t>
                  </m:r>
                  <m:r>
                    <w:rPr>
                      <w:rFonts w:ascii="Cambria Math" w:hAnsi="Cambria Math"/>
                    </w:rPr>
                    <m:t>events</m:t>
                  </m:r>
                </m:e>
                <m:sub>
                  <m:r>
                    <w:rPr>
                      <w:rFonts w:ascii="Cambria Math" w:hAnsi="Cambria Math"/>
                    </w:rPr>
                    <m:t>without</m:t>
                  </m:r>
                  <m:r>
                    <m:rPr>
                      <m:sty m:val="p"/>
                    </m:rPr>
                    <w:rPr>
                      <w:rFonts w:ascii="Cambria Math" w:hAnsi="Cambria Math"/>
                    </w:rPr>
                    <m:t xml:space="preserve"> </m:t>
                  </m:r>
                  <m:r>
                    <w:rPr>
                      <w:rFonts w:ascii="Cambria Math" w:hAnsi="Cambria Math"/>
                    </w:rPr>
                    <m:t>prior</m:t>
                  </m:r>
                  <m:r>
                    <m:rPr>
                      <m:sty m:val="p"/>
                    </m:rPr>
                    <w:rPr>
                      <w:rFonts w:ascii="Cambria Math" w:hAnsi="Cambria Math"/>
                    </w:rPr>
                    <m:t xml:space="preserve"> </m:t>
                  </m:r>
                  <m:r>
                    <w:rPr>
                      <w:rFonts w:ascii="Cambria Math" w:hAnsi="Cambria Math"/>
                    </w:rPr>
                    <m:t>CVD</m:t>
                  </m:r>
                </m:sub>
              </m:sSub>
            </m:num>
            <m:den>
              <m:sSub>
                <m:sSubPr>
                  <m:ctrlPr>
                    <w:rPr>
                      <w:rFonts w:ascii="Cambria Math" w:hAnsi="Cambria Math"/>
                    </w:rPr>
                  </m:ctrlPr>
                </m:sSubPr>
                <m:e>
                  <m:r>
                    <w:rPr>
                      <w:rFonts w:ascii="Cambria Math" w:hAnsi="Cambria Math"/>
                    </w:rPr>
                    <m:t>Cumulative</m:t>
                  </m:r>
                  <m:r>
                    <m:rPr>
                      <m:sty m:val="p"/>
                    </m:rPr>
                    <w:rPr>
                      <w:rFonts w:ascii="Cambria Math" w:hAnsi="Cambria Math"/>
                    </w:rPr>
                    <m:t xml:space="preserve"> </m:t>
                  </m:r>
                  <m:r>
                    <w:rPr>
                      <w:rFonts w:ascii="Cambria Math" w:hAnsi="Cambria Math"/>
                    </w:rPr>
                    <m:t>incindence</m:t>
                  </m:r>
                  <m:r>
                    <m:rPr>
                      <m:sty m:val="p"/>
                    </m:rPr>
                    <w:rPr>
                      <w:rFonts w:ascii="Cambria Math" w:hAnsi="Cambria Math"/>
                    </w:rPr>
                    <m:t xml:space="preserve"> </m:t>
                  </m:r>
                  <m:r>
                    <w:rPr>
                      <w:rFonts w:ascii="Cambria Math" w:hAnsi="Cambria Math"/>
                    </w:rPr>
                    <m:t>fatal</m:t>
                  </m:r>
                  <m:r>
                    <m:rPr>
                      <m:sty m:val="p"/>
                    </m:rPr>
                    <w:rPr>
                      <w:rFonts w:ascii="Cambria Math" w:hAnsi="Cambria Math"/>
                    </w:rPr>
                    <m:t xml:space="preserve"> </m:t>
                  </m:r>
                  <m:r>
                    <w:rPr>
                      <w:rFonts w:ascii="Cambria Math" w:hAnsi="Cambria Math"/>
                    </w:rPr>
                    <m:t>CV</m:t>
                  </m:r>
                  <m:r>
                    <m:rPr>
                      <m:sty m:val="p"/>
                    </m:rPr>
                    <w:rPr>
                      <w:rFonts w:ascii="Cambria Math" w:hAnsi="Cambria Math"/>
                    </w:rPr>
                    <m:t xml:space="preserve"> </m:t>
                  </m:r>
                  <m:r>
                    <w:rPr>
                      <w:rFonts w:ascii="Cambria Math" w:hAnsi="Cambria Math"/>
                    </w:rPr>
                    <m:t>events</m:t>
                  </m:r>
                </m:e>
                <m:sub>
                  <m:r>
                    <w:rPr>
                      <w:rFonts w:ascii="Cambria Math" w:hAnsi="Cambria Math"/>
                    </w:rPr>
                    <m:t>General</m:t>
                  </m:r>
                  <m:r>
                    <m:rPr>
                      <m:sty m:val="p"/>
                    </m:rPr>
                    <w:rPr>
                      <w:rFonts w:ascii="Cambria Math" w:hAnsi="Cambria Math"/>
                    </w:rPr>
                    <m:t xml:space="preserve"> </m:t>
                  </m:r>
                  <m:r>
                    <w:rPr>
                      <w:rFonts w:ascii="Cambria Math" w:hAnsi="Cambria Math"/>
                    </w:rPr>
                    <m:t>population</m:t>
                  </m:r>
                </m:sub>
              </m:sSub>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CVrisk</m:t>
              </m:r>
            </m:e>
            <m:sub>
              <m:r>
                <w:rPr>
                  <w:rFonts w:ascii="Cambria Math" w:hAnsi="Cambria Math"/>
                </w:rPr>
                <m:t>t</m:t>
              </m:r>
              <m:r>
                <m:rPr>
                  <m:sty m:val="p"/>
                </m:rPr>
                <w:rPr>
                  <w:rFonts w:ascii="Cambria Math" w:hAnsi="Cambria Math"/>
                </w:rPr>
                <m:t>1-10</m:t>
              </m:r>
            </m:sub>
          </m:sSub>
        </m:oMath>
      </m:oMathPara>
    </w:p>
    <w:p w:rsidR="00C26AF6" w:rsidRPr="00B2496F" w:rsidRDefault="00C26AF6" w:rsidP="00225592">
      <w:pPr>
        <w:pStyle w:val="dGewonetekst"/>
      </w:pPr>
      <w:r w:rsidRPr="00B2496F">
        <w:t xml:space="preserve">Multiplication factors were assumed to be stable within each region and over time </w:t>
      </w:r>
      <w:r w:rsidRPr="00B2496F">
        <w:fldChar w:fldCharType="begin" w:fldLock="1"/>
      </w:r>
      <w:r w:rsidR="00365CB9" w:rsidRPr="00B2496F">
        <w:instrText>ADDIN CSL_CITATION {"citationItems":[{"id":"ITEM-1","itemData":{"author":[{"dropping-particle":"","family":"SCORE2 Working Group","given":"","non-dropping-particle":"","parse-names":false,"suffix":""}],"id":"ITEM-1","issued":{"date-parts":[["0"]]},"title":"European Society of Cardiology SCORE2 risk prediction algorithms: revised models to estimate 10-year risk of cardiovascular disease in Europe. Under review.","type":"article-journal"},"uris":["http://www.mendeley.com/documents/?uuid=b5d64b37-b338-49df-9282-fde6153c487d","http://www.mendeley.com/documents/?uuid=273f2708-a144-40e3-9fb6-ac496a62c3bf"]}],"mendeley":{"formattedCitation":"&lt;sup&gt;15&lt;/sup&gt;","plainTextFormattedCitation":"15","previouslyFormattedCitation":"(15)"},"properties":{"noteIndex":0},"schema":"https://github.com/citation-style-language/schema/raw/master/csl-citation.json"}</w:instrText>
      </w:r>
      <w:r w:rsidRPr="00B2496F">
        <w:fldChar w:fldCharType="separate"/>
      </w:r>
      <w:r w:rsidR="00365CB9" w:rsidRPr="00B2496F">
        <w:rPr>
          <w:noProof/>
          <w:vertAlign w:val="superscript"/>
        </w:rPr>
        <w:t>15</w:t>
      </w:r>
      <w:r w:rsidRPr="00B2496F">
        <w:fldChar w:fldCharType="end"/>
      </w:r>
      <w:r w:rsidRPr="00B2496F">
        <w:t>. To aggregate the multipliers from the different cohorts to a single set of multipliers for the low/moderate and for the high/very high risk regions, the mean was calculated of all relevant multipliers, weighted by the size of the multiplier-derivation cohort. The region-, age- and sex-specific multipliers can be found in Supplementary Table 4.</w:t>
      </w:r>
      <w:r w:rsidR="00FB6737" w:rsidRPr="00B2496F">
        <w:t xml:space="preserve"> </w:t>
      </w:r>
      <w:r w:rsidR="00FB6737" w:rsidRPr="00B2496F">
        <w:rPr>
          <w:szCs w:val="20"/>
          <w:lang w:eastAsia="en-GB"/>
        </w:rPr>
        <w:t xml:space="preserve">Age and sex-specific 10-year mortality CVD rates and derived incidence rates are shown for each region in </w:t>
      </w:r>
      <w:r w:rsidR="00FB6737" w:rsidRPr="00B2496F">
        <w:rPr>
          <w:bCs/>
          <w:szCs w:val="20"/>
          <w:lang w:eastAsia="en-GB"/>
        </w:rPr>
        <w:t xml:space="preserve">Supplementary Figure </w:t>
      </w:r>
      <w:r w:rsidR="00A91FDB" w:rsidRPr="00B2496F">
        <w:rPr>
          <w:bCs/>
          <w:szCs w:val="20"/>
          <w:lang w:eastAsia="en-GB"/>
        </w:rPr>
        <w:t>4</w:t>
      </w:r>
      <w:r w:rsidR="00FB6737" w:rsidRPr="00B2496F">
        <w:rPr>
          <w:szCs w:val="20"/>
          <w:lang w:eastAsia="en-GB"/>
        </w:rPr>
        <w:t xml:space="preserve">. </w:t>
      </w:r>
      <w:r w:rsidR="00FB6737" w:rsidRPr="00B2496F">
        <w:rPr>
          <w:lang w:val="en-GB"/>
        </w:rPr>
        <w:t xml:space="preserve">The age-specific and sex-specific estimated </w:t>
      </w:r>
      <w:r w:rsidR="005F2F22" w:rsidRPr="00B2496F">
        <w:rPr>
          <w:lang w:val="en-GB"/>
        </w:rPr>
        <w:t xml:space="preserve">CVD </w:t>
      </w:r>
      <w:r w:rsidR="00FB6737" w:rsidRPr="00B2496F">
        <w:rPr>
          <w:lang w:val="en-GB"/>
        </w:rPr>
        <w:t>event rates used for recalibration are presented by region in Supplementary Table 5.</w:t>
      </w:r>
    </w:p>
    <w:p w:rsidR="00C26AF6" w:rsidRPr="00B2496F" w:rsidRDefault="00C26AF6" w:rsidP="00225592">
      <w:pPr>
        <w:pStyle w:val="dGewonetekst"/>
      </w:pPr>
    </w:p>
    <w:p w:rsidR="00C26AF6" w:rsidRPr="00B2496F" w:rsidRDefault="003C2BA4" w:rsidP="003B2F2B">
      <w:pPr>
        <w:pStyle w:val="cSubkop2"/>
      </w:pPr>
      <w:r w:rsidRPr="00B2496F">
        <w:t xml:space="preserve">Box 6: </w:t>
      </w:r>
      <w:r w:rsidR="003B2F2B" w:rsidRPr="00B2496F">
        <w:t>Relate expected to predicted risks to calculate rescaling factors for model recalibration</w:t>
      </w:r>
    </w:p>
    <w:p w:rsidR="00301BBA" w:rsidRPr="00B2496F" w:rsidRDefault="00C26AF6" w:rsidP="00225592">
      <w:pPr>
        <w:pStyle w:val="dGewonetekst"/>
      </w:pPr>
      <w:r w:rsidRPr="00B2496F">
        <w:t xml:space="preserve">Recalibration of the </w:t>
      </w:r>
      <w:r w:rsidR="003C2BA4" w:rsidRPr="00B2496F">
        <w:t>core SCORE2-OP model</w:t>
      </w:r>
      <w:r w:rsidRPr="00B2496F">
        <w:t xml:space="preserve"> wa</w:t>
      </w:r>
      <w:r w:rsidR="00301BBA" w:rsidRPr="00B2496F">
        <w:t>s performed separately for each geographical risk</w:t>
      </w:r>
      <w:r w:rsidRPr="00B2496F">
        <w:t xml:space="preserve"> region, using a previously described methodology, which is summarized in Supplementary</w:t>
      </w:r>
      <w:r w:rsidR="00A91FDB" w:rsidRPr="00B2496F">
        <w:t xml:space="preserve"> Methods</w:t>
      </w:r>
      <w:r w:rsidRPr="00B2496F">
        <w:t xml:space="preserve"> Figure 2 </w:t>
      </w:r>
      <w:r w:rsidRPr="00B2496F">
        <w:fldChar w:fldCharType="begin" w:fldLock="1"/>
      </w:r>
      <w:r w:rsidR="00365CB9" w:rsidRPr="00B2496F">
        <w:instrText>ADDIN CSL_CITATION {"citationItems":[{"id":"ITEM-1","itemData":{"DOI":"10.1093/eurheartj/ehy653","ISSN":"1522-9645 (Electronic)","PMID":"30476079","abstract":"AIMS: There is debate about the optimum algorithm for cardiovascular disease (CVD) risk estimation. We conducted head-to-head comparisons of four algorithms recommended by primary prevention guidelines, before and after 'recalibration', a method that adapts risk algorithms to take account of differences in the risk characteristics of the populations being studied. METHODS AND RESULTS: Using individual-participant data on 360 737 participants without CVD at baseline in 86 prospective studies from 22 countries, we compared the Framingham risk score (FRS), Systematic COronary Risk Evaluation (SCORE), pooled cohort equations (PCE), and Reynolds risk score (RRS). We calculated measures of risk discrimination and calibration, and modelled clinical implications of initiating statin therapy in people judged to be at 'high' 10 year CVD risk. Original risk algorithms were recalibrated using the risk factor profile and CVD incidence of target populations. The four algorithms had similar risk discrimination. Before recalibration, FRS, SCORE, and PCE over-predicted CVD risk on average by 10%, 52%, and 41%, respectively, whereas RRS under-predicted by 10%. Original versions of algorithms classified 29-39% of individuals aged &gt;/=40 years as high risk. By contrast, recalibration reduced this proportion to 22-24% for every algorithm. We estimated that to prevent one CVD event, it would be necessary to initiate statin therapy in 44-51 such individuals using original algorithms, in contrast to 37-39 individuals with recalibrated algorithms. CONCLUSION: Before recalibration, the clinical performance of four widely used CVD risk algorithms varied substantially. By contrast, simple recalibration nearly equalized their performance and improved modelled targeting of preventive action to clinical need.","author":[{"dropping-particle":"","family":"Pennells","given":"Lisa","non-dropping-particle":"","parse-names":false,"suffix":""},{"dropping-particle":"","family":"Kaptoge","given":"Stephen","non-dropping-particle":"","parse-names":false,"suffix":""},{"dropping-particle":"","family":"Wood","given":"Angela","non-dropping-particle":"","parse-names":false,"suffix":""},{"dropping-particle":"","family":"Sweeting","given":"Mike","non-dropping-particle":"","parse-names":false,"suffix":""},{"dropping-particle":"","family":"Zhao","given":"Xiaohui","non-dropping-particle":"","parse-names":false,"suffix":""},{"dropping-particle":"","family":"White","given":"Ian","non-dropping-particle":"","parse-names":false,"suffix":""},{"dropping-particle":"","family":"Burgess","given":"Stephen","non-dropping-particle":"","parse-names":false,"suffix":""},{"dropping-particle":"","family":"Willeit","given":"Peter","non-dropping-particle":"","parse-names":false,"suffix":""},{"dropping-particle":"","family":"Bolton","given":"Thomas","non-dropping-particle":"","parse-names":false,"suffix":""},{"dropping-particle":"","family":"Moons","given":"Karel G M","non-dropping-particle":"","parse-names":false,"suffix":""},{"dropping-particle":"","family":"Schouw","given":"Yvonne T","non-dropping-particle":"van der","parse-names":false,"suffix":""},{"dropping-particle":"","family":"Selmer","given":"Randi","non-dropping-particle":"","parse-names":false,"suffix":""},{"dropping-particle":"","family":"Khaw","given":"Kay-Tee","non-dropping-particle":"","parse-names":false,"suffix":""},{"dropping-particle":"","family":"Gudnason","given":"Vilmundur","non-dropping-particle":"","parse-names":false,"suffix":""},{"dropping-particle":"","family":"Assmann","given":"Gerd","non-dropping-particle":"","parse-names":false,"suffix":""},{"dropping-particle":"","family":"Amouyel","given":"Philippe","non-dropping-particle":"","parse-names":false,"suffix":""},{"dropping-particle":"","family":"Salomaa","given":"Veikko","non-dropping-particle":"","parse-names":false,"suffix":""},{"dropping-particle":"","family":"Kivimaki","given":"Mika","non-dropping-particle":"","parse-names":false,"suffix":""},{"dropping-particle":"","family":"Nordestgaard","given":"Borge G","non-dropping-particle":"","parse-names":false,"suffix":""},{"dropping-particle":"","family":"Blaha","given":"Michael J","non-dropping-particle":"","parse-names":false,"suffix":""},{"dropping-particle":"","family":"Kuller","given":"Lewis H","non-dropping-particle":"","parse-names":false,"suffix":""},{"dropping-particle":"","family":"Brenner","given":"Hermann","non-dropping-particle":"","parse-names":false,"suffix":""},{"dropping-particle":"","family":"Gillum","given":"Richard F","non-dropping-particle":"","parse-names":false,"suffix":""},{"dropping-particle":"","family":"Meisinger","given":"Christa","non-dropping-particle":"","parse-names":false,"suffix":""},{"dropping-particle":"","family":"Ford","given":"Ian","non-dropping-particle":"","parse-names":false,"suffix":""},{"dropping-particle":"","family":"Knuiman","given":"Matthew W","non-dropping-particle":"","parse-names":false,"suffix":""},{"dropping-particle":"","family":"Rosengren","given":"Annika","non-dropping-particle":"","parse-names":false,"suffix":""},{"dropping-particle":"","family":"Lawlor","given":"Debbie A","non-dropping-particle":"","parse-names":false,"suffix":""},{"dropping-particle":"","family":"Volzke","given":"Henry","non-dropping-particle":"","parse-names":false,"suffix":""},{"dropping-particle":"","family":"Cooper","given":"Cyrus","non-dropping-particle":"","parse-names":false,"suffix":""},{"dropping-particle":"","family":"Marin Ibanez","given":"Alejandro","non-dropping-particle":"","parse-names":false,"suffix":""},{"dropping-particle":"","family":"Casiglia","given":"Edoardo","non-dropping-particle":"","parse-names":false,"suffix":""},{"dropping-particle":"","family":"Kauhanen","given":"Jussi","non-dropping-particle":"","parse-names":false,"suffix":""},{"dropping-particle":"","family":"Cooper","given":"Jackie A","non-dropping-particle":"","parse-names":false,"suffix":""},{"dropping-particle":"","family":"Rodriguez","given":"Beatriz","non-dropping-particle":"","parse-names":false,"suffix":""},{"dropping-particle":"","family":"Sundstrom","given":"Johan","non-dropping-particle":"","parse-names":false,"suffix":""},{"dropping-particle":"","family":"Barrett-Connor","given":"Elizabeth","non-dropping-particle":"","parse-names":false,"suffix":""},{"dropping-particle":"","family":"Dankner","given":"Rachel","non-dropping-particle":"","parse-names":false,"suffix":""},{"dropping-particle":"","family":"Nietert","given":"Paul J","non-dropping-particle":"","parse-names":false,"suffix":""},{"dropping-particle":"","family":"Davidson","given":"Karina W","non-dropping-particle":"","parse-names":false,"suffix":""},{"dropping-particle":"","family":"Wallace","given":"Robert B","non-dropping-particle":"","parse-names":false,"suffix":""},{"dropping-particle":"","family":"Blazer","given":"Dan G","non-dropping-particle":"","parse-names":false,"suffix":""},{"dropping-particle":"","family":"Bjorkelund","given":"Cecilia","non-dropping-particle":"","parse-names":false,"suffix":""},{"dropping-particle":"","family":"Donfrancesco","given":"Chiara","non-dropping-particle":"","parse-names":false,"suffix":""},{"dropping-particle":"","family":"Krumholz","given":"Harlan M","non-dropping-particle":"","parse-names":false,"suffix":""},{"dropping-particle":"","family":"Nissinen","given":"Aulikki","non-dropping-particle":"","parse-names":false,"suffix":""},{"dropping-particle":"","family":"Davis","given":"Barry R","non-dropping-particle":"","parse-names":false,"suffix":""},{"dropping-particle":"","family":"Coady","given":"Sean","non-dropping-particle":"","parse-names":false,"suffix":""},{"dropping-particle":"","family":"Whincup","given":"Peter H","non-dropping-particle":"","parse-names":false,"suffix":""},{"dropping-particle":"","family":"Jorgensen","given":"Torben","non-dropping-particle":"","parse-names":false,"suffix":""},{"dropping-particle":"","family":"Ducimetiere","given":"Pierre","non-dropping-particle":"","parse-names":false,"suffix":""},{"dropping-particle":"","family":"Trevisan","given":"Maurizio","non-dropping-particle":"","parse-names":false,"suffix":""},{"dropping-particle":"","family":"Engstrom","given":"Gunnar","non-dropping-particle":"","parse-names":false,"suffix":""},{"dropping-particle":"","family":"Crespo","given":"Carlos J","non-dropping-particle":"","parse-names":false,"suffix":""},{"dropping-particle":"","family":"Meade","given":"Tom W","non-dropping-particle":"","parse-names":false,"suffix":""},{"dropping-particle":"","family":"Visser","given":"Marjolein","non-dropping-particle":"","parse-names":false,"suffix":""},{"dropping-particle":"","family":"Kromhout","given":"Daan","non-dropping-particle":"","parse-names":false,"suffix":""},{"dropping-particle":"","family":"Kiechl","given":"Stefan","non-dropping-particle":"","parse-names":false,"suffix":""},{"dropping-particle":"","family":"Daimon","given":"Makoto","non-dropping-particle":"","parse-names":false,"suffix":""},{"dropping-particle":"","family":"Price","given":"Jackie F","non-dropping-particle":"","parse-names":false,"suffix":""},{"dropping-particle":"","family":"Gomez de la Camara","given":"Agustin","non-dropping-particle":"","parse-names":false,"suffix":""},{"dropping-particle":"","family":"Wouter Jukema","given":"J","non-dropping-particle":"","parse-names":false,"suffix":""},{"dropping-particle":"","family":"Lamarche","given":"Benoit","non-dropping-particle":"","parse-names":false,"suffix":""},{"dropping-particle":"","family":"Onat","given":"Altan","non-dropping-particle":"","parse-names":false,"suffix":""},{"dropping-particle":"","family":"Simons","given":"Leon A","non-dropping-particle":"","parse-names":false,"suffix":""},{"dropping-particle":"","family":"Kavousi","given":"Maryam","non-dropping-particle":"","parse-names":false,"suffix":""},{"dropping-particle":"","family":"Ben-Shlomo","given":"Yoav","non-dropping-particle":"","parse-names":false,"suffix":""},{"dropping-particle":"","family":"Gallacher","given":"John","non-dropping-particle":"","parse-names":false,"suffix":""},{"dropping-particle":"","family":"Dekker","given":"Jacqueline M","non-dropping-particle":"","parse-names":false,"suffix":""},{"dropping-particle":"","family":"Arima","given":"Hisatomi","non-dropping-particle":"","parse-names":false,"suffix":""},{"dropping-particle":"","family":"Shara","given":"Nawar","non-dropping-particle":"","parse-names":false,"suffix":""},{"dropping-particle":"","family":"Tipping","given":"Robert W","non-dropping-particle":"","parse-names":false,"suffix":""},{"dropping-particle":"","family":"Roussel","given":"Ronan","non-dropping-particle":"","parse-names":false,"suffix":""},{"dropping-particle":"","family":"Brunner","given":"Eric J","non-dropping-particle":"","parse-names":false,"suffix":""},{"dropping-particle":"","family":"Koenig","given":"Wolfgang","non-dropping-particle":"","parse-names":false,"suffix":""},{"dropping-particle":"","family":"Sakurai","given":"Masaru","non-dropping-particle":"","parse-names":false,"suffix":""},{"dropping-particle":"","family":"Pavlovic","given":"Jelena","non-dropping-particle":"","parse-names":false,"suffix":""},{"dropping-particle":"","family":"Gansevoort","given":"Ron T","non-dropping-particle":"","parse-names":false,"suffix":""},{"dropping-particle":"","family":"Nagel","given":"Dorothea","non-dropping-particle":"","parse-names":false,"suffix":""},{"dropping-particle":"","family":"Goldbourt","given":"Uri","non-dropping-particle":"","parse-names":false,"suffix":""},{"dropping-particle":"","family":"Barr","given":"Elizabeth L M","non-dropping-particle":"","parse-names":false,"suffix":""},{"dropping-particle":"","family":"Palmieri","given":"Luigi","non-dropping-particle":"","parse-names":false,"suffix":""},{"dropping-particle":"","family":"Njolstad","given":"Inger","non-dropping-particle":"","parse-names":false,"suffix":""},{"dropping-particle":"","family":"Sato","given":"Shinichi","non-dropping-particle":"","parse-names":false,"suffix":""},{"dropping-particle":"","family":"Monique Verschuren","given":"W M","non-dropping-particle":"","parse-names":false,"suffix":""},{"dropping-particle":"V","family":"Varghese","given":"Cherian","non-dropping-particle":"","parse-names":false,"suffix":""},{"dropping-particle":"","family":"Graham","given":"Ian","non-dropping-particle":"","parse-names":false,"suffix":""},{"dropping-particle":"","family":"Onuma","given":"Oyere","non-dropping-particle":"","parse-names":false,"suffix":""},{"dropping-particle":"","family":"Greenland","given":"Philip","non-dropping-particle":"","parse-names":false,"suffix":""},{"dropping-particle":"","family":"Woodward","given":"Mark","non-dropping-particle":"","parse-names":false,"suffix":""},{"dropping-particle":"","family":"Ezzati","given":"Majid","non-dropping-particle":"","parse-names":false,"suffix":""},{"dropping-particle":"","family":"Psaty","given":"Bruce M","non-dropping-particle":"","parse-names":false,"suffix":""},{"dropping-particle":"","family":"Sattar","given":"Naveed","non-dropping-particle":"","parse-names":false,"suffix":""},{"dropping-particle":"","family":"Jackson","given":"Rod","non-dropping-particle":"","parse-names":false,"suffix":""},{"dropping-particle":"","family":"Ridker","given":"Paul M","non-dropping-particle":"","parse-names":false,"suffix":""},{"dropping-particle":"","family":"Cook","given":"Nancy R","non-dropping-particle":"","parse-names":false,"suffix":""},{"dropping-particle":"","family":"D'Agostino","given":"Ralph B","non-dropping-particle":"","parse-names":false,"suffix":""},{"dropping-particle":"","family":"Thompson","given":"Simon G","non-dropping-particle":"","parse-names":false,"suffix":""},{"dropping-particle":"","family":"Danesh","given":"John","non-dropping-particle":"","parse-names":false,"suffix":""},{"dropping-particle":"","family":"Angelantonio","given":"Emanuele","non-dropping-particle":"Di","parse-names":false,"suffix":""}],"container-title":"European heart journal","id":"ITEM-1","issue":"7","issued":{"date-parts":[["2019"]]},"language":"eng","page":"621-631","title":"Equalization of four cardiovascular risk algorithms after systematic recalibration: individual-participant meta-analysis of 86 prospective studies.","type":"article-journal","volume":"40"},"uris":["http://www.mendeley.com/documents/?uuid=50d30fbe-9426-4658-92a2-209556779df3","http://www.mendeley.com/documents/?uuid=885a50d9-2328-4f9a-80d9-07ad9fc28ddc"]},{"id":"ITEM-2","itemData":{"author":[{"dropping-particle":"","family":"SCORE2 Working Group","given":"","non-dropping-particle":"","parse-names":false,"suffix":""}],"id":"ITEM-2","issued":{"date-parts":[["0"]]},"title":"European Society of Cardiology SCORE2 risk prediction algorithms: revised models to estimate 10-year risk of cardiovascular disease in Europe. Under review.","type":"article-journal"},"uris":["http://www.mendeley.com/documents/?uuid=b5d64b37-b338-49df-9282-fde6153c487d","http://www.mendeley.com/documents/?uuid=273f2708-a144-40e3-9fb6-ac496a62c3bf"]}],"mendeley":{"formattedCitation":"&lt;sup&gt;15,22&lt;/sup&gt;","plainTextFormattedCitation":"15,22","previouslyFormattedCitation":"(15,22)"},"properties":{"noteIndex":0},"schema":"https://github.com/citation-style-language/schema/raw/master/csl-citation.json"}</w:instrText>
      </w:r>
      <w:r w:rsidRPr="00B2496F">
        <w:fldChar w:fldCharType="separate"/>
      </w:r>
      <w:r w:rsidR="00365CB9" w:rsidRPr="00B2496F">
        <w:rPr>
          <w:noProof/>
          <w:vertAlign w:val="superscript"/>
        </w:rPr>
        <w:t>15,22</w:t>
      </w:r>
      <w:r w:rsidRPr="00B2496F">
        <w:fldChar w:fldCharType="end"/>
      </w:r>
      <w:r w:rsidRPr="00B2496F">
        <w:t>.</w:t>
      </w:r>
      <w:r w:rsidR="00301BBA" w:rsidRPr="00B2496F">
        <w:t xml:space="preserve"> </w:t>
      </w:r>
      <w:r w:rsidR="00301BBA" w:rsidRPr="00B2496F">
        <w:rPr>
          <w:szCs w:val="20"/>
        </w:rPr>
        <w:t>This involved the use of</w:t>
      </w:r>
      <w:r w:rsidR="001E57CE" w:rsidRPr="00B2496F">
        <w:rPr>
          <w:szCs w:val="20"/>
        </w:rPr>
        <w:t xml:space="preserve"> regional</w:t>
      </w:r>
      <w:r w:rsidR="00301BBA" w:rsidRPr="00B2496F">
        <w:rPr>
          <w:szCs w:val="20"/>
        </w:rPr>
        <w:t xml:space="preserve"> age- and sex-specific mean risk factor levels (from NCD-RisC</w:t>
      </w:r>
      <w:r w:rsidR="001E57CE" w:rsidRPr="00B2496F">
        <w:rPr>
          <w:szCs w:val="20"/>
        </w:rPr>
        <w:t xml:space="preserve">) and age- </w:t>
      </w:r>
      <w:r w:rsidR="001E57CE" w:rsidRPr="00B2496F">
        <w:rPr>
          <w:szCs w:val="20"/>
        </w:rPr>
        <w:lastRenderedPageBreak/>
        <w:t xml:space="preserve">and </w:t>
      </w:r>
      <w:r w:rsidR="00301BBA" w:rsidRPr="00B2496F">
        <w:rPr>
          <w:szCs w:val="20"/>
        </w:rPr>
        <w:t>sex-specific estimates of expected cumulative 10-year risk, estimated as described above.</w:t>
      </w:r>
      <w:r w:rsidRPr="00B2496F">
        <w:t xml:space="preserve"> </w:t>
      </w:r>
      <w:r w:rsidR="00301BBA" w:rsidRPr="00B2496F">
        <w:rPr>
          <w:szCs w:val="20"/>
        </w:rPr>
        <w:t xml:space="preserve">We used the core SCORE2-OP risk models to estimate 10-year predicted risk of the endpoint for each of the age groups using the mean risk factor values. Having completed this process for each age group, as shown in </w:t>
      </w:r>
      <w:r w:rsidR="00301BBA" w:rsidRPr="00B2496F">
        <w:rPr>
          <w:bCs/>
          <w:szCs w:val="20"/>
        </w:rPr>
        <w:t>Figure 2</w:t>
      </w:r>
      <w:r w:rsidR="00301BBA" w:rsidRPr="00B2496F">
        <w:rPr>
          <w:b/>
          <w:bCs/>
          <w:szCs w:val="20"/>
        </w:rPr>
        <w:t xml:space="preserve"> </w:t>
      </w:r>
      <w:r w:rsidR="00301BBA" w:rsidRPr="00B2496F">
        <w:rPr>
          <w:szCs w:val="20"/>
        </w:rPr>
        <w:t>we then regressed transformed expected 10-year risk across age groups on that predicted by the core SCORE2</w:t>
      </w:r>
      <w:r w:rsidR="001E57CE" w:rsidRPr="00B2496F">
        <w:rPr>
          <w:szCs w:val="20"/>
        </w:rPr>
        <w:t>-OP</w:t>
      </w:r>
      <w:r w:rsidR="00301BBA" w:rsidRPr="00B2496F">
        <w:rPr>
          <w:szCs w:val="20"/>
        </w:rPr>
        <w:t xml:space="preserve"> models to derive recalibration factors (the intercept and slope of the resulting regression line, </w:t>
      </w:r>
      <w:r w:rsidR="004E3F47" w:rsidRPr="00B2496F">
        <w:rPr>
          <w:szCs w:val="20"/>
        </w:rPr>
        <w:t xml:space="preserve">Supplementary </w:t>
      </w:r>
      <w:r w:rsidR="0098527B" w:rsidRPr="00B2496F">
        <w:rPr>
          <w:szCs w:val="20"/>
        </w:rPr>
        <w:t xml:space="preserve">Methods </w:t>
      </w:r>
      <w:r w:rsidR="00301BBA" w:rsidRPr="00B2496F">
        <w:rPr>
          <w:bCs/>
          <w:szCs w:val="20"/>
        </w:rPr>
        <w:t xml:space="preserve">Table </w:t>
      </w:r>
      <w:r w:rsidR="0098527B" w:rsidRPr="00B2496F">
        <w:rPr>
          <w:bCs/>
          <w:szCs w:val="20"/>
        </w:rPr>
        <w:t>1</w:t>
      </w:r>
      <w:r w:rsidR="00301BBA" w:rsidRPr="00B2496F">
        <w:rPr>
          <w:szCs w:val="20"/>
        </w:rPr>
        <w:t>). The SCORE2</w:t>
      </w:r>
      <w:r w:rsidR="004E3F47" w:rsidRPr="00B2496F">
        <w:rPr>
          <w:szCs w:val="20"/>
        </w:rPr>
        <w:t>-OP</w:t>
      </w:r>
      <w:r w:rsidR="00301BBA" w:rsidRPr="00B2496F">
        <w:rPr>
          <w:szCs w:val="20"/>
        </w:rPr>
        <w:t xml:space="preserve"> risk models, rescaled using the recalibration factors were then used to estimate appropriate risks for each potential risk factor combination, for a new individual or for formation of the example risk charts.</w:t>
      </w:r>
    </w:p>
    <w:p w:rsidR="00C26AF6" w:rsidRPr="00B2496F" w:rsidRDefault="00C26AF6" w:rsidP="00225592">
      <w:pPr>
        <w:pStyle w:val="dGewonetekst"/>
      </w:pPr>
    </w:p>
    <w:p w:rsidR="00C26AF6" w:rsidRPr="00B2496F" w:rsidRDefault="00C26AF6" w:rsidP="00225592">
      <w:pPr>
        <w:pStyle w:val="dGewonetekst"/>
      </w:pPr>
      <w:r w:rsidRPr="00B2496F">
        <w:t xml:space="preserve">A stepwise approach for how to estimate individualized 10-year </w:t>
      </w:r>
      <w:r w:rsidR="005F2F22" w:rsidRPr="00B2496F">
        <w:t xml:space="preserve">CVD </w:t>
      </w:r>
      <w:r w:rsidRPr="00B2496F">
        <w:t xml:space="preserve">event risk </w:t>
      </w:r>
      <w:r w:rsidR="00B17013" w:rsidRPr="00B2496F">
        <w:t>estimations</w:t>
      </w:r>
      <w:r w:rsidRPr="00B2496F">
        <w:t xml:space="preserve"> can be found in Suppl</w:t>
      </w:r>
      <w:r w:rsidR="004021BC" w:rsidRPr="00B2496F">
        <w:t>ementary</w:t>
      </w:r>
      <w:r w:rsidR="00841F8D" w:rsidRPr="00B2496F">
        <w:t xml:space="preserve"> Methods</w:t>
      </w:r>
      <w:r w:rsidR="004021BC" w:rsidRPr="00B2496F">
        <w:t xml:space="preserve"> Table </w:t>
      </w:r>
      <w:r w:rsidR="00841F8D" w:rsidRPr="00B2496F">
        <w:t>2</w:t>
      </w:r>
      <w:r w:rsidR="004021BC" w:rsidRPr="00B2496F">
        <w:t>, with individual example calculations</w:t>
      </w:r>
      <w:r w:rsidR="00841F8D" w:rsidRPr="00B2496F">
        <w:t xml:space="preserve"> shown</w:t>
      </w:r>
      <w:r w:rsidR="004021BC" w:rsidRPr="00B2496F">
        <w:t xml:space="preserve"> in Supplementary</w:t>
      </w:r>
      <w:r w:rsidR="00841F8D" w:rsidRPr="00B2496F">
        <w:t xml:space="preserve"> Methods</w:t>
      </w:r>
      <w:r w:rsidR="004021BC" w:rsidRPr="00B2496F">
        <w:t xml:space="preserve"> Table </w:t>
      </w:r>
      <w:r w:rsidR="00841F8D" w:rsidRPr="00B2496F">
        <w:t>3</w:t>
      </w:r>
      <w:r w:rsidR="004021BC" w:rsidRPr="00B2496F">
        <w:t>.</w:t>
      </w:r>
    </w:p>
    <w:p w:rsidR="008544D5" w:rsidRPr="00B2496F" w:rsidRDefault="008544D5" w:rsidP="00C26AF6">
      <w:pPr>
        <w:rPr>
          <w:rFonts w:ascii="Arial" w:hAnsi="Arial" w:cs="Arial"/>
          <w:sz w:val="20"/>
        </w:rPr>
      </w:pPr>
    </w:p>
    <w:p w:rsidR="008544D5" w:rsidRPr="00B2496F" w:rsidRDefault="008544D5" w:rsidP="001401F8">
      <w:pPr>
        <w:pStyle w:val="bSubkop"/>
      </w:pPr>
      <w:r w:rsidRPr="00B2496F">
        <w:t>1.</w:t>
      </w:r>
      <w:r w:rsidR="001401F8" w:rsidRPr="00B2496F">
        <w:t>4</w:t>
      </w:r>
      <w:r w:rsidRPr="00B2496F">
        <w:t xml:space="preserve"> Missing data</w:t>
      </w:r>
    </w:p>
    <w:p w:rsidR="00C26AF6" w:rsidRPr="00B2496F" w:rsidRDefault="004E3F47" w:rsidP="004E3F47">
      <w:pPr>
        <w:pStyle w:val="dGewonetekst"/>
      </w:pPr>
      <w:r w:rsidRPr="00B2496F">
        <w:t>Because complete case analysis may lead to loss of statistical power and possible bias, values of predictors were imputed by single regression imputation with predictive mean matching for all cohort data. As the CPRD consists of care-as-usual data, missing data was much more frequent and missingness was more likely to correlate with cardiovascular disease risk. Therefore, multiple imputation was performed for the external validation in CPRD with fully conditional specification using 5 imputed datasets.</w:t>
      </w:r>
    </w:p>
    <w:p w:rsidR="001C2587" w:rsidRPr="00B2496F" w:rsidRDefault="001C2587" w:rsidP="001C2587">
      <w:pPr>
        <w:pStyle w:val="bSubkop"/>
      </w:pPr>
    </w:p>
    <w:p w:rsidR="001C2587" w:rsidRPr="00B2496F" w:rsidRDefault="001C2587" w:rsidP="001C2587">
      <w:pPr>
        <w:pStyle w:val="bSubkop"/>
      </w:pPr>
      <w:r w:rsidRPr="00B2496F">
        <w:t>1.5 Uncertainty of risk predictions</w:t>
      </w:r>
    </w:p>
    <w:p w:rsidR="004E3F47" w:rsidRPr="00B2496F" w:rsidRDefault="001C2587" w:rsidP="001C2587">
      <w:pPr>
        <w:pStyle w:val="dGewonetekst"/>
      </w:pPr>
      <w:r w:rsidRPr="00B2496F">
        <w:t xml:space="preserve">In clinical practice, clinical decision are made based on the best available evidence. In risk prediction, this is the point estimate as estimated with the risk model. However, it is good to realize that there is uncertainty around these point estimates. </w:t>
      </w:r>
      <w:r w:rsidR="00163B8B" w:rsidRPr="00B2496F">
        <w:t xml:space="preserve">To calculate confidence intervals surrounding individual predicted risks based on the uncertainty of all model coefficients, risk predictions were repeated with the lower or upper bounds of the </w:t>
      </w:r>
      <w:r w:rsidR="006E5D95" w:rsidRPr="00B2496F">
        <w:t>confidence intervals of all beta coefficients</w:t>
      </w:r>
      <w:r w:rsidR="0088415E" w:rsidRPr="00B2496F">
        <w:t xml:space="preserve"> </w:t>
      </w:r>
      <w:r w:rsidR="0088415E" w:rsidRPr="00B2496F">
        <w:rPr>
          <w:b/>
        </w:rPr>
        <w:t>(Table 2)</w:t>
      </w:r>
      <w:r w:rsidR="00163B8B" w:rsidRPr="00B2496F">
        <w:t>.</w:t>
      </w:r>
      <w:r w:rsidRPr="00B2496F">
        <w:t xml:space="preserve"> In </w:t>
      </w:r>
      <w:r w:rsidRPr="00B2496F">
        <w:rPr>
          <w:b/>
        </w:rPr>
        <w:t xml:space="preserve">Supplementary Figure 8 </w:t>
      </w:r>
      <w:r w:rsidRPr="00B2496F">
        <w:t>the uncertainty around the point estimates is presented</w:t>
      </w:r>
      <w:r w:rsidR="00163B8B" w:rsidRPr="00B2496F">
        <w:t xml:space="preserve"> in risk </w:t>
      </w:r>
      <w:r w:rsidR="00726AD1" w:rsidRPr="00B2496F">
        <w:t>c</w:t>
      </w:r>
      <w:r w:rsidR="00163B8B" w:rsidRPr="00B2496F">
        <w:t>harts</w:t>
      </w:r>
      <w:r w:rsidRPr="00B2496F">
        <w:t xml:space="preserve">. </w:t>
      </w:r>
    </w:p>
    <w:p w:rsidR="00463BF8" w:rsidRPr="00B2496F" w:rsidRDefault="00463BF8" w:rsidP="001C2587">
      <w:pPr>
        <w:pStyle w:val="dGewonetekst"/>
      </w:pPr>
    </w:p>
    <w:p w:rsidR="00463BF8" w:rsidRPr="00B2496F" w:rsidRDefault="00463BF8" w:rsidP="001C2587">
      <w:pPr>
        <w:pStyle w:val="dGewonetekst"/>
      </w:pPr>
    </w:p>
    <w:p w:rsidR="00C26AF6" w:rsidRPr="00B2496F" w:rsidRDefault="008544D5" w:rsidP="001401F8">
      <w:pPr>
        <w:pStyle w:val="bSubkop"/>
      </w:pPr>
      <w:r w:rsidRPr="00B2496F">
        <w:lastRenderedPageBreak/>
        <w:t>1.</w:t>
      </w:r>
      <w:r w:rsidR="001C2587" w:rsidRPr="00B2496F">
        <w:t>6</w:t>
      </w:r>
      <w:r w:rsidR="00C26AF6" w:rsidRPr="00B2496F">
        <w:t xml:space="preserve"> Predicting treatment effects from risk factor treatment using </w:t>
      </w:r>
      <w:r w:rsidR="00C5364F" w:rsidRPr="00B2496F">
        <w:t>SCORE2-OP</w:t>
      </w:r>
    </w:p>
    <w:p w:rsidR="00C26AF6" w:rsidRPr="00B2496F" w:rsidRDefault="00C26AF6" w:rsidP="00225592">
      <w:pPr>
        <w:pStyle w:val="dGewonetekst"/>
      </w:pPr>
      <w:r w:rsidRPr="00B2496F">
        <w:t xml:space="preserve">It has previously been shown that risk </w:t>
      </w:r>
      <w:r w:rsidR="00B17013" w:rsidRPr="00B2496F">
        <w:t>estimations</w:t>
      </w:r>
      <w:r w:rsidRPr="00B2496F">
        <w:t xml:space="preserve"> can be combined with relative treatment effects from trials to calculate absolute individualized treatment effects </w:t>
      </w:r>
      <w:r w:rsidRPr="00B2496F">
        <w:fldChar w:fldCharType="begin" w:fldLock="1"/>
      </w:r>
      <w:r w:rsidR="00365CB9" w:rsidRPr="00B2496F">
        <w:instrText>ADDIN CSL_CITATION {"citationItems":[{"id":"ITEM-1","itemData":{"ISSN":"1756-1833 (Electronic)","PMID":"21968126","abstract":"OBJECTIVES: To predict treatment effects for individual patients based on data from randomised trials, taking rosuvastatin treatment in the primary prevention of cardiovascular disease as an example, and to evaluate the net benefit of making treatment decisions for individual patients based on a predicted absolute treatment effect. SETTING: As an example, data were used from the Justification for the Use of Statins in Prevention (JUPITER) trial, a randomised controlled trial evaluating the effect of rosuvastatin 20 mg daily versus placebo on the occurrence of cardiovascular events (myocardial infarction, stroke, arterial revascularisation, admission to hospital for unstable angina, or death from cardiovascular causes). Population 17,802 healthy men and women who had low density lipoprotein cholesterol levels of less than 3.4 mmol/L and high sensitivity C reactive protein levels of 2.0 mg/L or more. METHODS: Data from the Justification for the Use of Statins in Prevention trial were used to predict rosuvastatin treatment effect for individual patients based on existing risk scores (Framingham and Reynolds) and on a newly developed prediction model. We compared the net benefit of prediction based rosuvastatin treatment (selective treatment of patients whose predicted treatment effect exceeds a decision threshold) with the net benefit of treating either everyone or no one. RESULTS: The median predicted 10 year absolute risk reduction for cardiovascular events was 4.4% (interquartile range 2.6-7.0%) based on the Framingham risk score, 4.2% (2.5-7.1%) based on the Reynolds score, and 3.9% (2.5-6.1%) based on the newly developed model (optimal fit model). Prediction based treatment was associated with more net benefit than treating everyone or no one, provided that the decision threshold was between 2% and 7%, and thus that the number willing to treat (NWT) to prevent one cardiovascular event over 10 years was between 15 and 50. CONCLUSIONS: Data from randomised trials can be used to predict treatment effect in terms of absolute risk reduction for individual patients, based on a newly developed model or, if available, existing risk scores. The value of such prediction of treatment effect for medical decision making is conditional on the NWT to prevent one outcome event. Trial registration number Clinicaltrials.gov NCT00239681.","author":[{"dropping-particle":"","family":"Dorresteijn","given":"Johannes A N","non-dropping-particle":"","parse-names":false,"suffix":""},{"dropping-particle":"","family":"Visseren","given":"Frank L J","non-dropping-particle":"","parse-names":false,"suffix":""},{"dropping-particle":"","family":"Ridker","given":"Paul M","non-dropping-particle":"","parse-names":false,"suffix":""},{"dropping-particle":"","family":"Wassink","given":"Annemarie M J","non-dropping-particle":"","parse-names":false,"suffix":""},{"dropping-particle":"","family":"Paynter","given":"Nina P","non-dropping-particle":"","parse-names":false,"suffix":""},{"dropping-particle":"","family":"Steyerberg","given":"Ewout W","non-dropping-particle":"","parse-names":false,"suffix":""},{"dropping-particle":"","family":"Graaf","given":"Yolanda","non-dropping-particle":"van der","parse-names":false,"suffix":""},{"dropping-particle":"","family":"Cook","given":"Nancy R","non-dropping-particle":"","parse-names":false,"suffix":""}],"container-title":"BMJ","id":"ITEM-1","issued":{"date-parts":[["2011"]]},"page":"d5888","title":"Estimating treatment effects for individual patients based on the results of randomised clinical trials.","type":"article-journal","volume":"343"},"uris":["http://www.mendeley.com/documents/?uuid=af2a677d-4cdd-4879-ae5d-3c0c4e6419b5"]}],"mendeley":{"formattedCitation":"&lt;sup&gt;18&lt;/sup&gt;","plainTextFormattedCitation":"18","previouslyFormattedCitation":"(18)"},"properties":{"noteIndex":0},"schema":"https://github.com/citation-style-language/schema/raw/master/csl-citation.json"}</w:instrText>
      </w:r>
      <w:r w:rsidRPr="00B2496F">
        <w:fldChar w:fldCharType="separate"/>
      </w:r>
      <w:r w:rsidR="00365CB9" w:rsidRPr="00B2496F">
        <w:rPr>
          <w:noProof/>
          <w:vertAlign w:val="superscript"/>
        </w:rPr>
        <w:t>18</w:t>
      </w:r>
      <w:r w:rsidRPr="00B2496F">
        <w:fldChar w:fldCharType="end"/>
      </w:r>
      <w:r w:rsidRPr="00B2496F">
        <w:t>.</w:t>
      </w:r>
    </w:p>
    <w:p w:rsidR="00C26AF6" w:rsidRPr="00B2496F" w:rsidRDefault="00C26AF6" w:rsidP="00225592">
      <w:pPr>
        <w:pStyle w:val="dGewonetekst"/>
      </w:pPr>
      <w:r w:rsidRPr="00B2496F">
        <w:t xml:space="preserve">To show the potential use of using </w:t>
      </w:r>
      <w:r w:rsidR="00C5364F" w:rsidRPr="00B2496F">
        <w:t>SCORE2-OP</w:t>
      </w:r>
      <w:r w:rsidRPr="00B2496F">
        <w:t xml:space="preserve"> in daily practice, we included analyses on the individual absolute benefit of blood pressure lowering</w:t>
      </w:r>
      <w:r w:rsidR="00891B51" w:rsidRPr="00B2496F">
        <w:t xml:space="preserve"> and lipid lowering</w:t>
      </w:r>
      <w:r w:rsidRPr="00B2496F">
        <w:t xml:space="preserve"> in older persons. To estimate the effect of blood pressure lowering</w:t>
      </w:r>
      <w:r w:rsidR="00891B51" w:rsidRPr="00B2496F">
        <w:t xml:space="preserve"> </w:t>
      </w:r>
      <w:r w:rsidRPr="00B2496F">
        <w:t xml:space="preserve"> on CVD, average relative treatment effects were added to </w:t>
      </w:r>
      <w:r w:rsidR="00C5364F" w:rsidRPr="00B2496F">
        <w:t>SCORE2-OP</w:t>
      </w:r>
      <w:r w:rsidRPr="00B2496F">
        <w:t>, using a hazard ratio (HR) of 0.80 per 10 mmHg SBP reduction taken from a large meta-analysis</w:t>
      </w:r>
      <w:r w:rsidR="00891B51" w:rsidRPr="00B2496F">
        <w:t xml:space="preserve"> for blood pressure lowering</w:t>
      </w:r>
      <w:r w:rsidRPr="00B2496F">
        <w:t xml:space="preserve"> </w:t>
      </w:r>
      <w:r w:rsidRPr="00B2496F">
        <w:fldChar w:fldCharType="begin" w:fldLock="1"/>
      </w:r>
      <w:r w:rsidR="00365CB9" w:rsidRPr="00B2496F">
        <w:instrText>ADDIN CSL_CITATION {"citationItems":[{"id":"ITEM-1","itemData":{"DOI":"10.1016/S0140-6736(15)01225-8","ISSN":"0140-6736","abstract":"BackgroundThe benefits of blood pressure lowering treatment for prevention of cardiovascular disease are well established. However, the extent to which these effects differ by baseline blood pressure, presence of comorbidities, or drug class is less clear. We therefore performed a systematic review and meta-analysis to clarify these differences.","author":[{"dropping-particle":"","family":"Ettehad","given":"Dena","non-dropping-particle":"","parse-names":false,"suffix":""},{"dropping-particle":"","family":"Emdin","given":"Connor A","non-dropping-particle":"","parse-names":false,"suffix":""},{"dropping-particle":"","family":"Kiran","given":"Amit","non-dropping-particle":"","parse-names":false,"suffix":""},{"dropping-particle":"","family":"Anderson","given":"Simon G","non-dropping-particle":"","parse-names":false,"suffix":""},{"dropping-particle":"","family":"Callender","given":"Thomas","non-dropping-particle":"","parse-names":false,"suffix":""},{"dropping-particle":"","family":"Emberson","given":"Jonathan","non-dropping-particle":"","parse-names":false,"suffix":""},{"dropping-particle":"","family":"Chalmers","given":"John","non-dropping-particle":"","parse-names":false,"suffix":""},{"dropping-particle":"","family":"Rodgers","given":"Anthony","non-dropping-particle":"","parse-names":false,"suffix":""},{"dropping-particle":"","family":"Rahimi","given":"Kazem","non-dropping-particle":"","parse-names":false,"suffix":""}],"container-title":"The Lancet","id":"ITEM-1","issue":"10022","issued":{"date-parts":[["2016"]]},"note":"doi: 10.1016/S0140-6736(15)01225-8","page":"957-967","title":"Blood pressure lowering for prevention of cardiovascular disease and death: a systematic review and meta-analysis","type":"article-journal","volume":"387"},"uris":["http://www.mendeley.com/documents/?uuid=f8620f71-a61e-411d-bffd-f06f3835998a"]}],"mendeley":{"formattedCitation":"&lt;sup&gt;23&lt;/sup&gt;","plainTextFormattedCitation":"23","previouslyFormattedCitation":"(23)"},"properties":{"noteIndex":0},"schema":"https://github.com/citation-style-language/schema/raw/master/csl-citation.json"}</w:instrText>
      </w:r>
      <w:r w:rsidRPr="00B2496F">
        <w:fldChar w:fldCharType="separate"/>
      </w:r>
      <w:r w:rsidR="00365CB9" w:rsidRPr="00B2496F">
        <w:rPr>
          <w:noProof/>
          <w:vertAlign w:val="superscript"/>
        </w:rPr>
        <w:t>23</w:t>
      </w:r>
      <w:r w:rsidRPr="00B2496F">
        <w:fldChar w:fldCharType="end"/>
      </w:r>
      <w:r w:rsidR="00891B51" w:rsidRPr="00B2496F">
        <w:t>, and estimating the benefit from the reduction of office SBP to the target of &lt;140mmHg for persons with hypertension at baseline (SBP &gt;140 mmHg) from the HYVET and SPRINT trials (both blood pressure lowering trials</w:t>
      </w:r>
      <w:r w:rsidR="001860E7" w:rsidRPr="00B2496F">
        <w:t xml:space="preserve"> </w:t>
      </w:r>
      <w:r w:rsidR="001860E7" w:rsidRPr="00B2496F">
        <w:fldChar w:fldCharType="begin" w:fldLock="1"/>
      </w:r>
      <w:r w:rsidR="00365CB9" w:rsidRPr="00B2496F">
        <w:instrText>ADDIN CSL_CITATION {"citationItems":[{"id":"ITEM-1","itemData":{"DOI":"10.1056/NEJMoa0801369","ISSN":"1533-4406 (Electronic)","PMID":"18378519","abstract":"BACKGROUND: Whether the treatment of patients with hypertension who are 80 years of age or older is beneficial is unclear. It has been suggested that antihypertensive therapy may reduce the risk of stroke, despite possibly increasing the risk of death. METHODS: We randomly assigned 3845 patients from Europe, China, Australasia, and Tunisia who were 80 years of age or older and had a sustained systolic blood pressure of 160 mm Hg or more to receive either the diuretic indapamide (sustained release, 1.5 mg) or matching placebo. The angiotensin-converting-enzyme inhibitor perindopril (2 or 4 mg), or matching placebo, was added if necessary to achieve the target blood pressure of 150/80 mm Hg. The primary end point was fatal or nonfatal stroke. RESULTS: The active-treatment group (1933 patients) and the placebo group (1912 patients) were well matched (mean age, 83.6 years; mean blood pressure while sitting, 173.0/90.8 mm Hg); 11.8% had a history of cardiovascular disease. Median follow-up was 1.8 years. At 2 years, the mean blood pressure while sitting was 15.0/6.1 mm Hg lower in the active-treatment group than in the placebo group. In an intention-to-treat analysis, active treatment was associated with a 30% reduction in the rate of fatal or nonfatal stroke (95% confidence interval [CI], -1 to 51; P=0.06), a 39% reduction in the rate of death from stroke (95% CI, 1 to 62; P=0.05), a 21% reduction in the rate of death from any cause (95% CI, 4 to 35; P=0.02), a 23% reduction in the rate of death from cardiovascular causes (95% CI, -1 to 40; P=0.06), and a 64% reduction in the rate of heart failure (95% CI, 42 to 78; P&lt;0.001). Fewer serious adverse events were reported in the active-treatment group (358, vs. 448 in the placebo group; P=0.001). CONCLUSIONS: The results provide evidence that antihypertensive treatment with indapamide (sustained release), with or without perindopril, in persons 80 years of age or older is beneficial. (ClinicalTrials.gov number, NCT00122811 [ClinicalTrials.gov].).","author":[{"dropping-particle":"","family":"Beckett","given":"Nigel S","non-dropping-particle":"","parse-names":false,"suffix":""},{"dropping-particle":"","family":"Peters","given":"Ruth","non-dropping-particle":"","parse-names":false,"suffix":""},{"dropping-particle":"","family":"Fletcher","given":"Astrid E","non-dropping-particle":"","parse-names":false,"suffix":""},{"dropping-particle":"","family":"Staessen","given":"Jan A","non-dropping-particle":"","parse-names":false,"suffix":""},{"dropping-particle":"","family":"Liu","given":"Lisheng","non-dropping-particle":"","parse-names":false,"suffix":""},{"dropping-particle":"","family":"Dumitrascu","given":"Dan","non-dropping-particle":"","parse-names":false,"suffix":""},{"dropping-particle":"","family":"Stoyanovsky","given":"Vassil","non-dropping-particle":"","parse-names":false,"suffix":""},{"dropping-particle":"","family":"Antikainen","given":"Riitta L","non-dropping-particle":"","parse-names":false,"suffix":""},{"dropping-particle":"","family":"Nikitin","given":"Yuri","non-dropping-particle":"","parse-names":false,"suffix":""},{"dropping-particle":"","family":"Anderson","given":"Craig","non-dropping-particle":"","parse-names":false,"suffix":""},{"dropping-particle":"","family":"Belhani","given":"Alli","non-dropping-particle":"","parse-names":false,"suffix":""},{"dropping-particle":"","family":"Forette","given":"Francoise","non-dropping-particle":"","parse-names":false,"suffix":""},{"dropping-particle":"","family":"Rajkumar","given":"Chakravarthi","non-dropping-particle":"","parse-names":false,"suffix":""},{"dropping-particle":"","family":"Thijs","given":"Lutgarde","non-dropping-particle":"","parse-names":false,"suffix":""},{"dropping-particle":"","family":"Banya","given":"Winston","non-dropping-particle":"","parse-names":false,"suffix":""},{"dropping-particle":"","family":"Bulpitt","given":"Christopher J","non-dropping-particle":"","parse-names":false,"suffix":""}],"container-title":"The New England journal of medicine","id":"ITEM-1","issue":"18","issued":{"date-parts":[["2008"]]},"language":"eng","page":"1887-1898","title":"Treatment of hypertension in patients 80 years of age or older.","type":"article-journal","volume":"358"},"uris":["http://www.mendeley.com/documents/?uuid=7146c42b-a651-43c2-bb25-cbe3910c01a3","http://www.mendeley.com/documents/?uuid=cf39ffc8-2e20-46c3-8786-366250f5401f"]},{"id":"ITEM-2","itemData":{"DOI":"10.1056/NEJMoa1511939","ISSN":"0028-4793","PMID":"26551272","abstract":"BACKGROUND: The most appropriate targets for systolic blood pressure to reduce cardiovascular morbidity and mortality among persons without diabetes remain uncertain. METHODS: We randomly assigned 9361 persons with a systolic blood pressure of 130 mm Hg or higher and an increased cardiovascular risk, but without diabetes, to a systolic blood-pressure target of less than 120 mm Hg (intensive treatment) or a target of less than 140 mm Hg (standard treatment). The primary composite outcome was myocardial infarction, other acute coronary syndromes, stroke, heart failure, or death from cardiovascular causes. RESULTS: At 1 year, the mean systolic blood pressure was 121.4 mm Hg in the intensive-treatment group and 136.2 mm Hg in the standard-treatment group. The intervention was stopped early after a median follow-up of 3.26 years owing to a significantly lower rate of the primary composite outcome in the intensive-treatment group than in the standard-treatment group (1.65% per year vs. 2.19% per year; hazard ratio with intensive treatment, 0.75; 95% confidence interval [CI], 0.64 to 0.89; P&lt;0.001). All-cause mortality was also significantly lower in the intensive-treatment group (hazard ratio, 0.73; 95% CI, 0.60 to 0.90; P = 0.003). Rates of serious adverse events of hypotension, syncope, electrolyte abnormalities, and acute kidney injury or failure, but not of injurious falls, were higher in the intensive-treatment group than in the standard-treatment group. CONCLUSIONS: Among patients at high risk for cardiovascular events but without diabetes, targeting a systolic blood pressure of less than 120 mm Hg, as compared with less than 140 mm Hg, resulted in lower rates of fatal and nonfatal major cardiovascular events and death from any cause, although significantly higher rates of some adverse events were observed in the intensive-treatment group. (Funded by the National Institutes of Health; ClinicalTrials.gov number, NCT01206062.)","author":[{"dropping-particle":"","family":"SPRINT Research Group","given":"","non-dropping-particle":"","parse-names":false,"suffix":""},{"dropping-particle":"","family":"Wright","given":"JT","non-dropping-particle":"","parse-names":false,"suffix":""},{"dropping-particle":"","family":"Williamson","given":"JD","non-dropping-particle":"","parse-names":false,"suffix":""},{"dropping-particle":"","family":"Whelton","given":"PK","non-dropping-particle":"","parse-names":false,"suffix":""},{"dropping-particle":"","family":"Snyger","given":"JK","non-dropping-particle":"","parse-names":false,"suffix":""},{"dropping-particle":"","family":"Sink","given":"KM","non-dropping-particle":"","parse-names":false,"suffix":""},{"dropping-particle":"","family":"Rocco","given":"MV","non-dropping-particle":"","parse-names":false,"suffix":""},{"dropping-particle":"","family":"Reboussin","given":"DM","non-dropping-particle":"","parse-names":false,"suffix":""},{"dropping-particle":"","family":"Rahman","given":"M","non-dropping-particle":"","parse-names":false,"suffix":""},{"dropping-particle":"","family":"Oparil","given":"S","non-dropping-particle":"","parse-names":false,"suffix":""},{"dropping-particle":"","family":"Lewis","given":"CE","non-dropping-particle":"","parse-names":false,"suffix":""},{"dropping-particle":"","family":"Kimmel","given":"PL","non-dropping-particle":"","parse-names":false,"suffix":""},{"dropping-particle":"","family":"Johnson","given":"KC","non-dropping-particle":"","parse-names":false,"suffix":""},{"dropping-particle":"","family":"Goff","given":"DC Jr","non-dropping-particle":"","parse-names":false,"suffix":""},{"dropping-particle":"","family":"Fine","given":"LJ","non-dropping-particle":"","parse-names":false,"suffix":""},{"dropping-particle":"","family":"Cutler","given":"JA","non-dropping-particle":"","parse-names":false,"suffix":""},{"dropping-particle":"","family":"Cushman","given":"WC","non-dropping-particle":"","parse-names":false,"suffix":""},{"dropping-particle":"","family":"Cheung","given":"AK","non-dropping-particle":"","parse-names":false,"suffix":""},{"dropping-particle":"","family":"Ambrosius","given":"WT","non-dropping-particle":"","parse-names":false,"suffix":""}],"container-title":"New England Journal of Medicine","id":"ITEM-2","issue":"22","issued":{"date-parts":[["2015"]]},"language":"eng","page":"2103-2116","title":"A Randomized Trial of Intensive versus Standard Blood-Pressure Control","type":"article-journal","volume":"373"},"uris":["http://www.mendeley.com/documents/?uuid=a2ca1ee6-02fd-4451-afac-79bd0c4ed44f","http://www.mendeley.com/documents/?uuid=8a470c89-991d-4eba-b28d-802a13685fb0"]}],"mendeley":{"formattedCitation":"&lt;sup&gt;13,24&lt;/sup&gt;","plainTextFormattedCitation":"13,24","previouslyFormattedCitation":"(13,24)"},"properties":{"noteIndex":0},"schema":"https://github.com/citation-style-language/schema/raw/master/csl-citation.json"}</w:instrText>
      </w:r>
      <w:r w:rsidR="001860E7" w:rsidRPr="00B2496F">
        <w:fldChar w:fldCharType="separate"/>
      </w:r>
      <w:r w:rsidR="00365CB9" w:rsidRPr="00B2496F">
        <w:rPr>
          <w:noProof/>
          <w:vertAlign w:val="superscript"/>
        </w:rPr>
        <w:t>13,24</w:t>
      </w:r>
      <w:r w:rsidR="001860E7" w:rsidRPr="00B2496F">
        <w:fldChar w:fldCharType="end"/>
      </w:r>
      <w:r w:rsidR="00891B51" w:rsidRPr="00B2496F">
        <w:t>). For lipid lowering, an HR of 0.78 per 1 mmol/L LDL reduction was used</w:t>
      </w:r>
      <w:r w:rsidR="001860E7" w:rsidRPr="00B2496F">
        <w:t xml:space="preserve"> </w:t>
      </w:r>
      <w:r w:rsidR="001860E7" w:rsidRPr="00B2496F">
        <w:fldChar w:fldCharType="begin" w:fldLock="1"/>
      </w:r>
      <w:r w:rsidR="00365CB9" w:rsidRPr="00B2496F">
        <w:instrText>ADDIN CSL_CITATION {"citationItems":[{"id":"ITEM-1","itemData":{"DOI":"10.1016/S0140-6736(10)61350-5","ISBN":"1474-547X (Electronic)\\r0140-6736 (Linking)","ISSN":"01406736","PMID":"21067804","abstract":"Lowering of LDL cholesterol with standard statin regimens reduces the risk of occlusive vascular events in a wide range of individuals. We aimed to assess the safety and efficacy of more intensive lowering of LDL cholesterol with statin therapy. We undertook meta-analyses of individual participant data from randomised trials involving at least 1000 participants and at least 2 years' treatment duration of more versus less intensive statin regimens (five trials; 39 612 individuals; median follow-up 5·1 years) and of statin versus control (21 trials; 129 526 individuals; median follow-up 4·8 years). For each type of trial, we calculated not only the average risk reduction, but also the average risk reduction per 1·0 mmol/L LDL cholesterol reduction at 1 year after randomisation. In the trials of more versus less intensive statin therapy, the weighted mean further reduction in LDL cholesterol at 1 year was 0·51 mmol/L. Compared with less intensive regimens, more intensive regimens produced a highly significant 15 (95 CI 11-18; p&lt;0·0001) further reduction in major vascular events, consisting of separately significant reductions in coronary death or non-fatal myocardial infarction of 13 (95 CI 7-19; p&lt;0·0001), in coronary revascularisation of 19 (95 CI 15-24; p&lt;0·0001), and in ischaemic stroke of 16 (95 CI 5-26; p=0·005). Per 1·0 mmol/L reduction in LDL cholesterol, these further reductions in risk were similar to the proportional reductions in the trials of statin versus control. When both types of trial were combined, similar proportional reductions in major vascular events per 1·0 mmol/L LDL cholesterol reduction were found in all types of patient studied (rate ratio [RR] 0·78, 95 CI 0·76-0·80; p&lt;0·0001), including those with LDL cholesterol lower than 2 mmol/L on the less intensive or control regimen. Across all 26 trials, all-cause mortality was reduced by 10 per 1·0 mmol/L LDL reduction (RR 0·90, 95 CI 0·87-0·93; p&lt;0·0001), largely reflecting significant reductions in deaths due to coronary heart disease (RR 0·80, 99 CI 0·74-0·87; p&lt;0·0001) and other cardiac causes (RR 0·89, 99 CI 0·81-0·98; p=0·002), with no significant effect on deaths due to stroke (RR 0·96, 95 CI 0·84-1·09; p=0·5) or other vascular causes (RR 0·98, 99 CI 0·81-1·18; p=0·8). No significant effects were observed on deaths due to cancer or other non-vascular causes (RR 0·97, 95 CI 0·92-1·03; p=0·3) or on cancer incidence (RR 1·00, 95 CI 0·96- 1·04; p=0·9), even at low LDL cholesterol co…","author":[{"dropping-particle":"","family":"Baigent","given":"C.","non-dropping-particle":"","parse-names":false,"suffix":""},{"dropping-particle":"","family":"Blackwell","given":"L.","non-dropping-particle":"","parse-names":false,"suffix":""},{"dropping-particle":"","family":"Emberson","given":"J.","non-dropping-particle":"","parse-names":false,"suffix":""},{"dropping-particle":"","family":"Holland","given":"L. E.","non-dropping-particle":"","parse-names":false,"suffix":""},{"dropping-particle":"","family":"Reith","given":"C.","non-dropping-particle":"","parse-names":false,"suffix":""},{"dropping-particle":"","family":"Bhala","given":"N.","non-dropping-particle":"","parse-names":false,"suffix":""},{"dropping-particle":"","family":"Peto","given":"R.","non-dropping-particle":"","parse-names":false,"suffix":""},{"dropping-particle":"","family":"Barnes","given":"E. H.","non-dropping-particle":"","parse-names":false,"suffix":""},{"dropping-particle":"","family":"Keech","given":"A.","non-dropping-particle":"","parse-names":false,"suffix":""},{"dropping-particle":"","family":"Simes","given":"J.","non-dropping-particle":"","parse-names":false,"suffix":""},{"dropping-particle":"","family":"Collins","given":"R.","non-dropping-particle":"","parse-names":false,"suffix":""},{"dropping-particle":"","family":"Lemos","given":"J.","non-dropping-particle":"De","parse-names":false,"suffix":""},{"dropping-particle":"","family":"Braunwald","given":"E.","non-dropping-particle":"","parse-names":false,"suffix":""},{"dropping-particle":"","family":"Blazing","given":"M.","non-dropping-particle":"","parse-names":false,"suffix":""},{"dropping-particle":"","family":"Murphy","given":"S.","non-dropping-particle":"","parse-names":false,"suffix":""},{"dropping-particle":"","family":"Downs","given":"J. R.","non-dropping-particle":"","parse-names":false,"suffix":""},{"dropping-particle":"","family":"Gotto","given":"A.","non-dropping-particle":"","parse-names":false,"suffix":""},{"dropping-particle":"","family":"Clearfield","given":"M.","non-dropping-particle":"","parse-names":false,"suffix":""},{"dropping-particle":"","family":"Holdaas","given":"H.","non-dropping-particle":"","parse-names":false,"suffix":""},{"dropping-particle":"","family":"Gordon","given":"D.","non-dropping-particle":"","parse-names":false,"suffix":""},{"dropping-particle":"","family":"Davis","given":"B.","non-dropping-particle":"","parse-names":false,"suffix":""},{"dropping-particle":"","family":"Koren","given":"M.","non-dropping-particle":"","parse-names":false,"suffix":""},{"dropping-particle":"","family":"Dahlof","given":"B.","non-dropping-particle":"","parse-names":false,"suffix":""},{"dropping-particle":"","family":"Poulter","given":"N.","non-dropping-particle":"","parse-names":false,"suffix":""},{"dropping-particle":"","family":"Sever","given":"P.","non-dropping-particle":"","parse-names":false,"suffix":""},{"dropping-particle":"","family":"Knopp","given":"R. H.","non-dropping-particle":"","parse-names":false,"suffix":""},{"dropping-particle":"","family":"Fellström","given":"B.","non-dropping-particle":"","parse-names":false,"suffix":""},{"dropping-particle":"","family":"Holdaas","given":"H.","non-dropping-particle":"","parse-names":false,"suffix":""},{"dropping-particle":"","family":"Jardine","given":"A.","non-dropping-particle":"","parse-names":false,"suffix":""},{"dropping-particle":"","family":"Schmieder","given":"R.","non-dropping-particle":"","parse-names":false,"suffix":""},{"dropping-particle":"","family":"Zannad","given":"F.","non-dropping-particle":"","parse-names":false,"suffix":""},{"dropping-particle":"","family":"Goldbourt","given":"U.","non-dropping-particle":"","parse-names":false,"suffix":""},{"dropping-particle":"","family":"Kaplinsky","given":"E.","non-dropping-particle":"","parse-names":false,"suffix":""},{"dropping-particle":"","family":"Colhoun","given":"H. M.","non-dropping-particle":"","parse-names":false,"suffix":""},{"dropping-particle":"","family":"Betteridge","given":"D. J.","non-dropping-particle":"","parse-names":false,"suffix":""},{"dropping-particle":"","family":"Durrington","given":"P. N.","non-dropping-particle":"","parse-names":false,"suffix":""},{"dropping-particle":"","family":"Hitman","given":"G. A.","non-dropping-particle":"","parse-names":false,"suffix":""},{"dropping-particle":"","family":"Fuller","given":"J.","non-dropping-particle":"","parse-names":false,"suffix":""},{"dropping-particle":"","family":"Neil","given":"A.","non-dropping-particle":"","parse-names":false,"suffix":""},{"dropping-particle":"","family":"Wanner","given":"C.","non-dropping-particle":"","parse-names":false,"suffix":""},{"dropping-particle":"","family":"Krane","given":"V.","non-dropping-particle":"","parse-names":false,"suffix":""},{"dropping-particle":"","family":"Sacks","given":"F.","non-dropping-particle":"","parse-names":false,"suffix":""},{"dropping-particle":"","family":"Moyé","given":"L.","non-dropping-particle":"","parse-names":false,"suffix":""},{"dropping-particle":"","family":"Pfeffer","given":"M.","non-dropping-particle":"","parse-names":false,"suffix":""},{"dropping-particle":"","family":"Hawkins","given":"C. M.","non-dropping-particle":"","parse-names":false,"suffix":""},{"dropping-particle":"","family":"Braunwald","given":"E.","non-dropping-particle":"","parse-names":false,"suffix":""},{"dropping-particle":"","family":"Barter","given":"P.","non-dropping-particle":"","parse-names":false,"suffix":""},{"dropping-particle":"","family":"Keech","given":"A.","non-dropping-particle":"","parse-names":false,"suffix":""},{"dropping-particle":"","family":"Tavazzi","given":"L.","non-dropping-particle":"","parse-names":false,"suffix":""},{"dropping-particle":"","family":"Maggioni","given":"A.","non-dropping-particle":"","parse-names":false,"suffix":""},{"dropping-particle":"","family":"Marchioli","given":"R.","non-dropping-particle":"","parse-names":false,"suffix":""},{"dropping-particle":"","family":"Tognoni","given":"G.","non-dropping-particle":"","parse-names":false,"suffix":""},{"dropping-particle":"","family":"Franzosi","given":"M. G.","non-dropping-particle":"","parse-names":false,"suffix":""},{"dropping-particle":"","family":"Maggioni","given":"A.","non-dropping-particle":"","parse-names":false,"suffix":""},{"dropping-particle":"","family":"Bloomfield","given":"H.","non-dropping-particle":"","parse-names":false,"suffix":""},{"dropping-particle":"","family":"Robins","given":"S.","non-dropping-particle":"","parse-names":false,"suffix":""},{"dropping-particle":"","family":"Collins","given":"R.","non-dropping-particle":"","parse-names":false,"suffix":""},{"dropping-particle":"","family":"Armitage","given":"J.","non-dropping-particle":"","parse-names":false,"suffix":""},{"dropping-particle":"","family":"Keech","given":"A.","non-dropping-particle":"","parse-names":false,"suffix":""},{"dropping-particle":"","family":"Parish","given":"S.","non-dropping-particle":"","parse-names":false,"suffix":""},{"dropping-particle":"","family":"Peto","given":"R.","non-dropping-particle":"","parse-names":false,"suffix":""},{"dropping-particle":"","family":"Sleight","given":"P.","non-dropping-particle":"","parse-names":false,"suffix":""},{"dropping-particle":"","family":"Pedersen","given":"T. R.","non-dropping-particle":"","parse-names":false,"suffix":""},{"dropping-particle":"","family":"Ridker","given":"P. M.","non-dropping-particle":"","parse-names":false,"suffix":""},{"dropping-particle":"","family":"Holman","given":"R.","non-dropping-particle":"","parse-names":false,"suffix":""},{"dropping-particle":"","family":"Meade","given":"T.","non-dropping-particle":"","parse-names":false,"suffix":""},{"dropping-particle":"","family":"Simes","given":"J.","non-dropping-particle":"","parse-names":false,"suffix":""},{"dropping-particle":"","family":"Keech","given":"A.","non-dropping-particle":"","parse-names":false,"suffix":""},{"dropping-particle":"","family":"MacMahon","given":"S.","non-dropping-particle":"","parse-names":false,"suffix":""},{"dropping-particle":"","family":"Marschner","given":"I.","non-dropping-particle":"","parse-names":false,"suffix":""},{"dropping-particle":"","family":"Tonkin","given":"A.","non-dropping-particle":"","parse-names":false,"suffix":""},{"dropping-particle":"","family":"Shaw","given":"J.","non-dropping-particle":"","parse-names":false,"suffix":""},{"dropping-particle":"","family":"Serruys","given":"P. W.","non-dropping-particle":"","parse-names":false,"suffix":""},{"dropping-particle":"","family":"Nakamura","given":"H.","non-dropping-particle":"","parse-names":false,"suffix":""},{"dropping-particle":"","family":"Knatterud","given":"G.","non-dropping-particle":"","parse-names":false,"suffix":""},{"dropping-particle":"","family":"Furberg","given":"C.","non-dropping-particle":"","parse-names":false,"suffix":""},{"dropping-particle":"","family":"Byington","given":"R.","non-dropping-particle":"","parse-names":false,"suffix":""},{"dropping-particle":"","family":"Macfarlane","given":"P.","non-dropping-particle":"","parse-names":false,"suffix":""},{"dropping-particle":"","family":"Cobbe","given":"S.","non-dropping-particle":"","parse-names":false,"suffix":""},{"dropping-particle":"","family":"Ford","given":"I.","non-dropping-particle":"","parse-names":false,"suffix":""},{"dropping-particle":"","family":"Murphy","given":"M.","non-dropping-particle":"","parse-names":false,"suffix":""},{"dropping-particle":"","family":"Blauw","given":"G. J.","non-dropping-particle":"","parse-names":false,"suffix":""},{"dropping-particle":"","family":"Packard","given":"C.","non-dropping-particle":"","parse-names":false,"suffix":""},{"dropping-particle":"","family":"Shepherd","given":"J.","non-dropping-particle":"","parse-names":false,"suffix":""},{"dropping-particle":"","family":"Kjekshus","given":"J.","non-dropping-particle":"","parse-names":false,"suffix":""},{"dropping-particle":"","family":"Pedersen","given":"T.","non-dropping-particle":"","parse-names":false,"suffix":""},{"dropping-particle":"","family":"Wilhelmsen","given":"L.","non-dropping-particle":"","parse-names":false,"suffix":""},{"dropping-particle":"","family":"Braunwald","given":"E.","non-dropping-particle":"","parse-names":false,"suffix":""},{"dropping-particle":"","family":"Cannon","given":"C.","non-dropping-particle":"","parse-names":false,"suffix":""},{"dropping-particle":"","family":"Murphy","given":"S.","non-dropping-particle":"","parse-names":false,"suffix":""},{"dropping-particle":"","family":"Collins","given":"R.","non-dropping-particle":"","parse-names":false,"suffix":""},{"dropping-particle":"","family":"Armitage","given":"J.","non-dropping-particle":"","parse-names":false,"suffix":""},{"dropping-particle":"","family":"Bowman","given":"L.","non-dropping-particle":"","parse-names":false,"suffix":""},{"dropping-particle":"","family":"Parish","given":"S.","non-dropping-particle":"","parse-names":false,"suffix":""},{"dropping-particle":"","family":"Peto","given":"R.","non-dropping-particle":"","parse-names":false,"suffix":""},{"dropping-particle":"","family":"Sleight","given":"P.","non-dropping-particle":"","parse-names":false,"suffix":""},{"dropping-particle":"","family":"Baigent","given":"C.","non-dropping-particle":"","parse-names":false,"suffix":""},{"dropping-particle":"","family":"Baxter","given":"A.","non-dropping-particle":"","parse-names":false,"suffix":""},{"dropping-particle":"","family":"Collins","given":"R.","non-dropping-particle":"","parse-names":false,"suffix":""},{"dropping-particle":"","family":"Landray","given":"M.","non-dropping-particle":"","parse-names":false,"suffix":""},{"dropping-particle":"","family":"Rosa","given":"J.","non-dropping-particle":"La","parse-names":false,"suffix":""},{"dropping-particle":"","family":"Rossouw","given":"J.","non-dropping-particle":"","parse-names":false,"suffix":""},{"dropping-particle":"","family":"Probstfield","given":"J.","non-dropping-particle":"","parse-names":false,"suffix":""},{"dropping-particle":"","family":"Shepherd","given":"J.","non-dropping-particle":"","parse-names":false,"suffix":""},{"dropping-particle":"","family":"Cobbe","given":"S.","non-dropping-particle":"","parse-names":false,"suffix":""},{"dropping-particle":"","family":"Macfarlane","given":"P.","non-dropping-particle":"","parse-names":false,"suffix":""},{"dropping-particle":"","family":"Ford","given":"I.","non-dropping-particle":"","parse-names":false,"suffix":""},{"dropping-particle":"","family":"Flather","given":"M.","non-dropping-particle":"","parse-names":false,"suffix":""},{"dropping-particle":"","family":"Kastelein","given":"J.","non-dropping-particle":"","parse-names":false,"suffix":""},{"dropping-particle":"","family":"Newman","given":"C.","non-dropping-particle":"","parse-names":false,"suffix":""},{"dropping-particle":"","family":"Shear","given":"C.","non-dropping-particle":"","parse-names":false,"suffix":""},{"dropping-particle":"","family":"Tobert","given":"J.","non-dropping-particle":"","parse-names":false,"suffix":""},{"dropping-particle":"","family":"Varigos","given":"J.","non-dropping-particle":"","parse-names":false,"suffix":""},{"dropping-particle":"","family":"White","given":"H.","non-dropping-particle":"","parse-names":false,"suffix":""},{"dropping-particle":"","family":"Yusuf","given":"S.","non-dropping-particle":"","parse-names":false,"suffix":""},{"dropping-particle":"","family":"Mellies","given":"M.","non-dropping-particle":"","parse-names":false,"suffix":""},{"dropping-particle":"","family":"McGovern","given":"M.","non-dropping-particle":"","parse-names":false,"suffix":""},{"dropping-particle":"","family":"Barclay","given":"J.","non-dropping-particle":"","parse-names":false,"suffix":""},{"dropping-particle":"","family":"Belder","given":"R.","non-dropping-particle":"","parse-names":false,"suffix":""},{"dropping-particle":"","family":"Mitchel","given":"Y.","non-dropping-particle":"","parse-names":false,"suffix":""},{"dropping-particle":"","family":"Musliner","given":"T.","non-dropping-particle":"","parse-names":false,"suffix":""},{"dropping-particle":"","family":"Ansquer","given":"J. C.","non-dropping-particle":"","parse-names":false,"suffix":""},{"dropping-particle":"","family":"Llewellyn","given":"M.","non-dropping-particle":"","parse-names":false,"suffix":""},{"dropping-particle":"","family":"Bortolini","given":"M.","non-dropping-particle":"","parse-names":false,"suffix":""},{"dropping-particle":"","family":"Brandrup-Wognsen","given":"G.","non-dropping-particle":"","parse-names":false,"suffix":""},{"dropping-particle":"","family":"Bryzinski","given":"B.","non-dropping-particle":"","parse-names":false,"suffix":""},{"dropping-particle":"","family":"Olsson","given":"G.","non-dropping-particle":"","parse-names":false,"suffix":""},{"dropping-particle":"","family":"Pears","given":"J.","non-dropping-particle":"","parse-names":false,"suffix":""},{"dropping-particle":"","family":"Micco","given":"D.","non-dropping-particle":"De","parse-names":false,"suffix":""},{"dropping-particle":"","family":"Baxter","given":"A.","non-dropping-particle":"","parse-names":false,"suffix":""},{"dropping-particle":"","family":"Baigent","given":"C.","non-dropping-particle":"","parse-names":false,"suffix":""},{"dropping-particle":"","family":"Barnes","given":"E. H.","non-dropping-particle":"","parse-names":false,"suffix":""},{"dropping-particle":"","family":"Bhala","given":"N.","non-dropping-particle":"","parse-names":false,"suffix":""},{"dropping-particle":"","family":"Blackwell","given":"L.","non-dropping-particle":"","parse-names":false,"suffix":""},{"dropping-particle":"","family":"Buck","given":"G.","non-dropping-particle":"","parse-names":false,"suffix":""},{"dropping-particle":"","family":"Collins","given":"R.","non-dropping-particle":"","parse-names":false,"suffix":""},{"dropping-particle":"","family":"Emberson","given":"J.","non-dropping-particle":"","parse-names":false,"suffix":""},{"dropping-particle":"","family":"Herrington","given":"W. G.","non-dropping-particle":"","parse-names":false,"suffix":""},{"dropping-particle":"","family":"Holland","given":"L. E.","non-dropping-particle":"","parse-names":false,"suffix":""},{"dropping-particle":"","family":"Kearney","given":"P. M.","non-dropping-particle":"","parse-names":false,"suffix":""},{"dropping-particle":"","family":"Keech","given":"A.","non-dropping-particle":"","parse-names":false,"suffix":""},{"dropping-particle":"","family":"Kirby","given":"A.","non-dropping-particle":"","parse-names":false,"suffix":""},{"dropping-particle":"","family":"Lewis","given":"D. A.","non-dropping-particle":"","parse-names":false,"suffix":""},{"dropping-particle":"","family":"Marschner","given":"I.","non-dropping-particle":"","parse-names":false,"suffix":""},{"dropping-particle":"","family":"Pollicino","given":"C.","non-dropping-particle":"","parse-names":false,"suffix":""},{"dropping-particle":"","family":"Reith","given":"C.","non-dropping-particle":"","parse-names":false,"suffix":""},{"dropping-particle":"","family":"Simes","given":"J.","non-dropping-particle":"","parse-names":false,"suffix":""},{"dropping-particle":"","family":"Sourjina","given":"T.","non-dropping-particle":"","parse-names":false,"suffix":""}],"container-title":"The Lancet","id":"ITEM-1","issue":"9753","issued":{"date-parts":[["2010"]]},"page":"1670-1681","publisher":"Elsevier Ltd","title":"Efficacy and safety of more intensive lowering of LDL cholesterol: A meta-analysis of data from 170 000 participants in 26 randomised trials","type":"article-journal","volume":"376"},"uris":["http://www.mendeley.com/documents/?uuid=cc77cad9-3c66-4d70-9ec3-73189820e80c"]}],"mendeley":{"formattedCitation":"&lt;sup&gt;25&lt;/sup&gt;","plainTextFormattedCitation":"25","previouslyFormattedCitation":"(25)"},"properties":{"noteIndex":0},"schema":"https://github.com/citation-style-language/schema/raw/master/csl-citation.json"}</w:instrText>
      </w:r>
      <w:r w:rsidR="001860E7" w:rsidRPr="00B2496F">
        <w:fldChar w:fldCharType="separate"/>
      </w:r>
      <w:r w:rsidR="00365CB9" w:rsidRPr="00B2496F">
        <w:rPr>
          <w:noProof/>
          <w:vertAlign w:val="superscript"/>
        </w:rPr>
        <w:t>25</w:t>
      </w:r>
      <w:r w:rsidR="001860E7" w:rsidRPr="00B2496F">
        <w:fldChar w:fldCharType="end"/>
      </w:r>
      <w:r w:rsidR="00891B51" w:rsidRPr="00B2496F">
        <w:t>, and the treatment benefit of lowering LDL cholesterol to &lt; 2.6 mmol/L was estimated for all patients with an LDL cholesterol &gt;2.6 mmol/L from the PROSPER trial (a lipid lowering trial</w:t>
      </w:r>
      <w:r w:rsidR="001860E7" w:rsidRPr="00B2496F">
        <w:t xml:space="preserve"> </w:t>
      </w:r>
      <w:r w:rsidR="001860E7" w:rsidRPr="00B2496F">
        <w:fldChar w:fldCharType="begin" w:fldLock="1"/>
      </w:r>
      <w:r w:rsidR="00365CB9" w:rsidRPr="00B2496F">
        <w:instrText>ADDIN CSL_CITATION {"citationItems":[{"id":"ITEM-1","itemData":{"ISSN":"0140-6736 (Print)","PMID":"12457784","abstract":"BACKGROUND: Although statins reduce coronary and cerebrovascular morbidity and mortality in middle-aged individuals, their efficacy and safety in elderly people is not fully established. Our aim was to test the benefits of pravastatin treatment in an elderly cohort of men and women with, or at high risk of developing, cardiovascular disease and stroke. METHODS: We did a randomised controlled trial in which we assigned 5804 men (n=2804) and women (n=3000) aged 70-82 years with a history of, or risk factors for, vascular disease to pravastatin (40 mg per day; n=2891) or placebo (n=2913). Baseline cholesterol concentrations ranged from 4.0 mmol/L to 9.0 mmol/L. Follow-up was 3.2 years on average and our primary endpoint was a composite of coronary death, non-fatal myocardial infarction, and fatal or non-fatal stroke. Analysis was by intention-to-treat. FINDINGS: Pravastatin lowered LDL cholesterol concentrations by 34% and reduced the incidence of the primary endpoint to 408 events compared with 473 on placebo (hazard ratio 0.85, 95% CI 0.74-0.97, p=0.014). Coronary heart disease death and non-fatal myocardial infarction risk was also reduced (0.81, 0.69-0.94, p=0.006). Stroke risk was unaffected (1.03, 0.81-1.31, p=0.8), but the hazard ratio for transient ischaemic attack was 0.75 (0.55-1.00, p=0.051). New cancer diagnoses were more frequent on pravastatin than on placebo (1.25, 1.04-1.51, p=0.020). However, incorporation of this finding in a meta-analysis of all pravastatin and all statin trials showed no overall increase in risk. Mortality from coronary disease fell by 24% (p=0.043) in the pravastatin group. Pravastatin had no significant effect on cognitive function or disability. INTERPRETATION: Pravastatin given for 3 years reduced the risk of coronary disease in elderly individuals. PROSPER therefore extends to elderly individuals the treatment strategy currently used in middle aged people.","author":[{"dropping-particle":"","family":"Shepherd","given":"James","non-dropping-particle":"","parse-names":false,"suffix":""},{"dropping-particle":"","family":"Blauw","given":"Gerard J","non-dropping-particle":"","parse-names":false,"suffix":""},{"dropping-particle":"","family":"Murphy","given":"Michael B","non-dropping-particle":"","parse-names":false,"suffix":""},{"dropping-particle":"","family":"Bollen","given":"Edward L E M","non-dropping-particle":"","parse-names":false,"suffix":""},{"dropping-particle":"","family":"Buckley","given":"Brendan M","non-dropping-particle":"","parse-names":false,"suffix":""},{"dropping-particle":"","family":"Cobbe","given":"Stuart M","non-dropping-particle":"","parse-names":false,"suffix":""},{"dropping-particle":"","family":"Ford","given":"Ian","non-dropping-particle":"","parse-names":false,"suffix":""},{"dropping-particle":"","family":"Gaw","given":"Allan","non-dropping-particle":"","parse-names":false,"suffix":""},{"dropping-particle":"","family":"Hyland","given":"Michael","non-dropping-particle":"","parse-names":false,"suffix":""},{"dropping-particle":"","family":"Jukema","given":"J Wouter","non-dropping-particle":"","parse-names":false,"suffix":""},{"dropping-particle":"","family":"Kamper","given":"Adriaan M","non-dropping-particle":"","parse-names":false,"suffix":""},{"dropping-particle":"","family":"Macfarlane","given":"Peter W","non-dropping-particle":"","parse-names":false,"suffix":""},{"dropping-particle":"","family":"Meinders","given":"A Edo","non-dropping-particle":"","parse-names":false,"suffix":""},{"dropping-particle":"","family":"Norrie","given":"John","non-dropping-particle":"","parse-names":false,"suffix":""},{"dropping-particle":"","family":"Packard","given":"Chris J","non-dropping-particle":"","parse-names":false,"suffix":""},{"dropping-particle":"","family":"Perry","given":"Ivan J","non-dropping-particle":"","parse-names":false,"suffix":""},{"dropping-particle":"","family":"Stott","given":"David J","non-dropping-particle":"","parse-names":false,"suffix":""},{"dropping-particle":"","family":"Sweeney","given":"Brian J","non-dropping-particle":"","parse-names":false,"suffix":""},{"dropping-particle":"","family":"Twomey","given":"Cillian","non-dropping-particle":"","parse-names":false,"suffix":""},{"dropping-particle":"","family":"Westendorp","given":"Rudi G J","non-dropping-particle":"","parse-names":false,"suffix":""}],"container-title":"Lancet","id":"ITEM-1","issue":"9346","issued":{"date-parts":[["2002"]]},"language":"eng","page":"1623-1630","title":"Pravastatin in elderly individuals at risk of vascular disease (PROSPER): a randomised controlled trial.","type":"article-journal","volume":"360"},"uris":["http://www.mendeley.com/documents/?uuid=c171772a-1f54-43b8-89b1-fdff447d2c41"]}],"mendeley":{"formattedCitation":"&lt;sup&gt;12&lt;/sup&gt;","plainTextFormattedCitation":"12","previouslyFormattedCitation":"(12)"},"properties":{"noteIndex":0},"schema":"https://github.com/citation-style-language/schema/raw/master/csl-citation.json"}</w:instrText>
      </w:r>
      <w:r w:rsidR="001860E7" w:rsidRPr="00B2496F">
        <w:fldChar w:fldCharType="separate"/>
      </w:r>
      <w:r w:rsidR="00365CB9" w:rsidRPr="00B2496F">
        <w:rPr>
          <w:noProof/>
          <w:vertAlign w:val="superscript"/>
        </w:rPr>
        <w:t>12</w:t>
      </w:r>
      <w:r w:rsidR="001860E7" w:rsidRPr="00B2496F">
        <w:fldChar w:fldCharType="end"/>
      </w:r>
      <w:r w:rsidR="00891B51" w:rsidRPr="00B2496F">
        <w:t>)</w:t>
      </w:r>
      <w:r w:rsidRPr="00B2496F">
        <w:t xml:space="preserve">. </w:t>
      </w:r>
      <w:r w:rsidR="009818B2" w:rsidRPr="00B2496F">
        <w:t xml:space="preserve">For both treatment effects, it was assumed that the HR can be applied across the entire age range. Indeed, no evidence for heterogeneity of these treatment effects across different age ranges has been found </w:t>
      </w:r>
      <w:r w:rsidR="009818B2" w:rsidRPr="00B2496F">
        <w:fldChar w:fldCharType="begin" w:fldLock="1"/>
      </w:r>
      <w:r w:rsidR="00365CB9" w:rsidRPr="00B2496F">
        <w:instrText>ADDIN CSL_CITATION {"citationItems":[{"id":"ITEM-1","itemData":{"DOI":"10.1016/S0140-6736(15)01225-8","ISSN":"0140-6736","abstract":"BackgroundThe benefits of blood pressure lowering treatment for prevention of cardiovascular disease are well established. However, the extent to which these effects differ by baseline blood pressure, presence of comorbidities, or drug class is less clear. We therefore performed a systematic review and meta-analysis to clarify these differences.","author":[{"dropping-particle":"","family":"Ettehad","given":"Dena","non-dropping-particle":"","parse-names":false,"suffix":""},{"dropping-particle":"","family":"Emdin","given":"Connor A","non-dropping-particle":"","parse-names":false,"suffix":""},{"dropping-particle":"","family":"Kiran","given":"Amit","non-dropping-particle":"","parse-names":false,"suffix":""},{"dropping-particle":"","family":"Anderson","given":"Simon G","non-dropping-particle":"","parse-names":false,"suffix":""},{"dropping-particle":"","family":"Callender","given":"Thomas","non-dropping-particle":"","parse-names":false,"suffix":""},{"dropping-particle":"","family":"Emberson","given":"Jonathan","non-dropping-particle":"","parse-names":false,"suffix":""},{"dropping-particle":"","family":"Chalmers","given":"John","non-dropping-particle":"","parse-names":false,"suffix":""},{"dropping-particle":"","family":"Rodgers","given":"Anthony","non-dropping-particle":"","parse-names":false,"suffix":""},{"dropping-particle":"","family":"Rahimi","given":"Kazem","non-dropping-particle":"","parse-names":false,"suffix":""}],"container-title":"The Lancet","id":"ITEM-1","issue":"10022","issued":{"date-parts":[["2016"]]},"note":"doi: 10.1016/S0140-6736(15)01225-8","page":"957-967","title":"Blood pressure lowering for prevention of cardiovascular disease and death: a systematic review and meta-analysis","type":"article-journal","volume":"387"},"uris":["http://www.mendeley.com/documents/?uuid=f8620f71-a61e-411d-bffd-f06f3835998a"]},{"id":"ITEM-2","itemData":{"DOI":"10.1016/S0140-6736(14)61212-5","ISSN":"1474-547X (Electronic)","PMID":"25131978","abstract":"BACKGROUND: We aimed to investigate whether the benefits of blood pressure-lowering drugs are proportional to baseline cardiovascular risk, to establish whether absolute risk could be used to inform treatment decisions for blood pressure-lowering therapy, as is recommended for lipid-lowering therapy. METHODS: This meta-analysis included individual participant data from trials that randomly assigned patients to either blood pressure-lowering drugs or placebo, or to more intensive or less intensive blood pressure-lowering regimens. The primary outcome was total major cardiovascular events, consisting of stroke, heart attack, heart failure, or cardiovascular death. Participants were separated into four categories of baseline 5-year major cardiovascular risk using a risk prediction equation developed from the placebo groups of the included trials (&lt;11%, 11-15%, 15-21%, &gt;21%). FINDINGS: 11 trials and 26 randomised groups met the inclusion criteria, and included 67,475 individuals, of whom 51,917 had available data for the calculation of the risk equations. 4167 (8%) had a cardiovascular event during a median of 4.0 years (IQR 3.4-4.4) of follow-up. The mean estimated baseline levels of 5-year cardiovascular risk for each of the four risk groups were 6.0% (SD 2.0), 12.1% (1.5), 17.7% (1.7), and 26.8% (5.4). In each consecutive higher risk group, blood pressure-lowering treatment reduced the risk of cardiovascular events relatively by 18% (95% CI 7-27), 15% (4-25), 13% (2-22), and 15% (5-24), respectively (p=0.30 for trend). However, in absolute terms, treating 1000 patients in each group with blood pressure-lowering treatment for 5 years would prevent 14 (95% CI 8-21), 20 (8-31), 24 (8-40), and 38 (16-61) cardiovascular events, respectively (p=0.04 for trend). INTERPRETATION: Lowering blood pressure provides similar relative protection at all levels of baseline cardiovascular risk, but progressively greater absolute risk reductions as baseline risk increases. These results support the use of predicted baseline cardiovascular disease risk equations to inform blood pressure-lowering treatment decisions. FUNDING: None.","author":[{"dropping-particle":"","family":"Blood Pressure Lowering Treatment Trialists' Collaboration","given":"","non-dropping-particle":"","parse-names":false,"suffix":""}],"container-title":"Lancet","id":"ITEM-2","issue":"9943","issued":{"date-parts":[["2014","8"]]},"language":"eng","page":"591-598","publisher-place":"England","title":"Blood pressure-lowering treatment based on cardiovascular risk: a meta-analysis of individual patient data.","type":"article-journal","volume":"384"},"uris":["http://www.mendeley.com/documents/?uuid=414f9bc2-681c-4df4-bc9e-25c8a64a1d62"]},{"id":"ITEM-3","itemData":{"DOI":"10.1016/S0140-6736(18)31942-1","ISSN":"1474-547X (Electronic)","PMID":"30712900","abstract":"BACKGROUND: Statin therapy has been shown to reduce major vascular events and vascular mortality in a wide range of individuals, but there is uncertainty about its efficacy and safety among older people. We undertook a meta-analysis of data from all large statin trials to compare the effects of statin therapy at different ages. METHODS: In this meta-analysis, randomised trials of statin therapy were eligible if they aimed to recruit at least 1000 participants with a scheduled treatment duration of at least 2 years. We analysed individual participant data from 22 trials (n=134 537) and detailed summary data from one trial (n=12 705) of statin therapy versus control, plus individual participant data from five trials of more intensive versus less intensive statin therapy (n=39 612). We subdivided participants into six age groups (55 years or younger, 56-60 years, 61-65 years, 66-70 years, 71-75 years, and older than 75 years). We estimated effects on major vascular events (ie, major coronary events, strokes, and coronary revascularisations), cause-specific mortality, and cancer incidence as the rate ratio (RR) per 1·0 mmol/L reduction in LDL cholesterol. We compared proportional risk reductions in different age subgroups by use of standard χ(2) tests for heterogeneity when there were two groups, or trend when there were more than two groups. FINDINGS: 14 483 (8%) of 186 854 participants in the 28 trials were older than 75 years at randomisation, and the median follow-up duration was 4·9 years. Overall, statin therapy or a more intensive statin regimen produced a 21% (RR 0·79, 95% CI 0·77-0·81) proportional reduction in major vascular events per 1·0 mmol/L reduction in LDL cholesterol. We observed a significant reduction in major vascular events in all age groups. Although proportional reductions in major vascular events diminished slightly with age, this trend was not statistically significant (p(trend)=0·06). Overall, statin or more intensive therapy yielded a 24% (RR 0·76, 95% CI 0·73-0·79) proportional reduction in major coronary events per 1·0 mmol/L reduction in LDL cholesterol, and with increasing age, we observed a trend towards smaller proportional risk reductions in major coronary events (p(trend)=0·009). We observed a 25% (RR 0·75, 95% CI 0·73-0·78) proportional reduction in the risk of coronary revascularisation procedures with statin therapy or a more intensive statin regimen per 1·0 mmol/L lower LDL cholesterol, which did not differ significan…","author":[{"dropping-particle":"","family":"Cholesterol Treatment Trialists' Collaboration","given":"","non-dropping-particle":"","parse-names":false,"suffix":""}],"container-title":"Lancet","id":"ITEM-3","issue":"10170","issued":{"date-parts":[["2019","2"]]},"language":"eng","page":"407-415","title":"Efficacy and safety of statin therapy in older people: a meta-analysis of individual participant data from 28 randomised controlled trials.","type":"article-journal","volume":"393"},"uris":["http://www.mendeley.com/documents/?uuid=0b030373-ef14-41ac-b82e-fe0da90f792b"]}],"mendeley":{"formattedCitation":"&lt;sup&gt;23,26,27&lt;/sup&gt;","plainTextFormattedCitation":"23,26,27","previouslyFormattedCitation":"(23,26,27)"},"properties":{"noteIndex":0},"schema":"https://github.com/citation-style-language/schema/raw/master/csl-citation.json"}</w:instrText>
      </w:r>
      <w:r w:rsidR="009818B2" w:rsidRPr="00B2496F">
        <w:fldChar w:fldCharType="separate"/>
      </w:r>
      <w:r w:rsidR="00365CB9" w:rsidRPr="00B2496F">
        <w:rPr>
          <w:noProof/>
          <w:vertAlign w:val="superscript"/>
        </w:rPr>
        <w:t>23,26,27</w:t>
      </w:r>
      <w:r w:rsidR="009818B2" w:rsidRPr="00B2496F">
        <w:fldChar w:fldCharType="end"/>
      </w:r>
      <w:r w:rsidR="009818B2" w:rsidRPr="00B2496F">
        <w:t>.</w:t>
      </w:r>
    </w:p>
    <w:p w:rsidR="00C26AF6" w:rsidRPr="00B2496F" w:rsidRDefault="00C26AF6" w:rsidP="00225592">
      <w:pPr>
        <w:pStyle w:val="dGewonetekst"/>
      </w:pPr>
      <w:r w:rsidRPr="00B2496F">
        <w:t xml:space="preserve">First, we tested the assumption that the same relative treatment effect can be used in all </w:t>
      </w:r>
      <w:r w:rsidR="001A3C40" w:rsidRPr="00B2496F">
        <w:t>individuals</w:t>
      </w:r>
      <w:r w:rsidRPr="00B2496F">
        <w:t xml:space="preserve"> by making a Cox model in respectively the HYVET</w:t>
      </w:r>
      <w:r w:rsidR="00891B51" w:rsidRPr="00B2496F">
        <w:t>,</w:t>
      </w:r>
      <w:r w:rsidRPr="00B2496F">
        <w:t xml:space="preserve"> SPRINT</w:t>
      </w:r>
      <w:r w:rsidR="00891B51" w:rsidRPr="00B2496F">
        <w:t>, and PROSPER</w:t>
      </w:r>
      <w:r w:rsidRPr="00B2496F">
        <w:t xml:space="preserve"> study populations including a </w:t>
      </w:r>
      <w:r w:rsidRPr="00B2496F">
        <w:rPr>
          <w:i/>
        </w:rPr>
        <w:t>“model linear predictor * trial allocation”</w:t>
      </w:r>
      <w:r w:rsidRPr="00B2496F">
        <w:t xml:space="preserve"> interaction term </w:t>
      </w:r>
      <w:r w:rsidRPr="00B2496F">
        <w:fldChar w:fldCharType="begin" w:fldLock="1"/>
      </w:r>
      <w:r w:rsidR="00365CB9" w:rsidRPr="00B2496F">
        <w:instrText>ADDIN CSL_CITATION {"citationItems":[{"id":"ITEM-1","itemData":{"DOI":"10.1136/bmj.k4245","ISSN":"1756-1833 (Electronic)","PMID":"30530757","abstract":"The use of evidence from clinical trials to support decisions for individual patients is a form of \"reference class forecasting\": implicit predictions for an individual are made on the basis of outcomes in a reference class of \"similar\" patients treated with alternative therapies. Evidence based medicine has generally emphasized the broad reference class of patients qualifying for a trial. Yet patients in a trial (and in clinical practice) differ from one another in many ways that can affect the outcome of interest and the potential for benefit. The central goal of personalized medicine, in its various forms, is to narrow the reference class to yield more patient specific effect estimates to support more individualized clinical decision making. This article will review fundamental conceptual problems with the prediction of outcome risk and heterogeneity of treatment effect (HTE), as well as the limitations of conventional (one-variable-at-a-time) subgroup analysis. It will also discuss several regression based approaches to \"predictive\" heterogeneity of treatment effect analysis, including analyses based on \"risk modeling\" (such as stratifying trial populations by their risk of the primary outcome or their risk of serious treatment-related harms) and analysis based on \"effect modeling\" (which incorporates modifiers of relative effect). It will illustrate these approaches with clinical examples and discuss their respective strengths and vulnerabilities.","author":[{"dropping-particle":"","family":"Kent","given":"David M","non-dropping-particle":"","parse-names":false,"suffix":""},{"dropping-particle":"","family":"Steyerberg","given":"Ewout","non-dropping-particle":"","parse-names":false,"suffix":""},{"dropping-particle":"","family":"Klaveren","given":"David","non-dropping-particle":"van","parse-names":false,"suffix":""}],"container-title":"BMJ","id":"ITEM-1","issued":{"date-parts":[["2018"]]},"language":"eng","page":"k4245","title":"Personalized evidence based medicine: predictive approaches to heterogeneous treatment effects.","type":"article-journal","volume":"363"},"uris":["http://www.mendeley.com/documents/?uuid=b1ce4e92-fcaa-48ef-90a2-48b76f481f65"]}],"mendeley":{"formattedCitation":"&lt;sup&gt;28&lt;/sup&gt;","plainTextFormattedCitation":"28","previouslyFormattedCitation":"(28)"},"properties":{"noteIndex":0},"schema":"https://github.com/citation-style-language/schema/raw/master/csl-citation.json"}</w:instrText>
      </w:r>
      <w:r w:rsidRPr="00B2496F">
        <w:fldChar w:fldCharType="separate"/>
      </w:r>
      <w:r w:rsidR="00365CB9" w:rsidRPr="00B2496F">
        <w:rPr>
          <w:noProof/>
          <w:vertAlign w:val="superscript"/>
        </w:rPr>
        <w:t>28</w:t>
      </w:r>
      <w:r w:rsidRPr="00B2496F">
        <w:fldChar w:fldCharType="end"/>
      </w:r>
      <w:r w:rsidRPr="00B2496F">
        <w:t xml:space="preserve">. </w:t>
      </w:r>
    </w:p>
    <w:p w:rsidR="00C26AF6" w:rsidRPr="00B2496F" w:rsidRDefault="00891B51" w:rsidP="00225592">
      <w:pPr>
        <w:pStyle w:val="dGewonetekst"/>
      </w:pPr>
      <w:r w:rsidRPr="00B2496F">
        <w:t xml:space="preserve">Then </w:t>
      </w:r>
      <w:r w:rsidR="00C26AF6" w:rsidRPr="00B2496F">
        <w:t xml:space="preserve">treatment benefit was calculated for the </w:t>
      </w:r>
      <w:r w:rsidRPr="00B2496F">
        <w:t>respective risk factor treatment</w:t>
      </w:r>
      <w:r w:rsidR="00C26AF6" w:rsidRPr="00B2496F">
        <w:t xml:space="preserve"> by combining the hazard ratio with the individualized </w:t>
      </w:r>
      <w:r w:rsidR="00362C98" w:rsidRPr="00B2496F">
        <w:t xml:space="preserve">estimated </w:t>
      </w:r>
      <w:r w:rsidR="00C26AF6" w:rsidRPr="00B2496F">
        <w:t xml:space="preserve">10-year </w:t>
      </w:r>
      <w:r w:rsidR="005F2F22" w:rsidRPr="00B2496F">
        <w:t xml:space="preserve">CVD </w:t>
      </w:r>
      <w:r w:rsidR="00C26AF6" w:rsidRPr="00B2496F">
        <w:t>event risk</w:t>
      </w:r>
      <w:r w:rsidR="005F2F22" w:rsidRPr="00B2496F">
        <w:t xml:space="preserve"> (here shown for SBP reduction)</w:t>
      </w:r>
      <w:r w:rsidR="00C26AF6" w:rsidRPr="00B2496F">
        <w:t>:</w:t>
      </w:r>
    </w:p>
    <w:p w:rsidR="00C26AF6" w:rsidRPr="00B2496F" w:rsidRDefault="00795EEF" w:rsidP="00225592">
      <w:pPr>
        <w:pStyle w:val="dGewonetekst"/>
      </w:pPr>
      <m:oMathPara>
        <m:oMath>
          <m:sSub>
            <m:sSubPr>
              <m:ctrlPr>
                <w:rPr>
                  <w:rFonts w:ascii="Cambria Math" w:hAnsi="Cambria Math"/>
                </w:rPr>
              </m:ctrlPr>
            </m:sSubPr>
            <m:e>
              <m:r>
                <w:rPr>
                  <w:rFonts w:ascii="Cambria Math" w:hAnsi="Cambria Math"/>
                </w:rPr>
                <m:t>Risk</m:t>
              </m:r>
            </m:e>
            <m:sub>
              <m:r>
                <w:rPr>
                  <w:rFonts w:ascii="Cambria Math" w:hAnsi="Cambria Math"/>
                </w:rPr>
                <m:t>with</m:t>
              </m:r>
              <m:r>
                <m:rPr>
                  <m:sty m:val="p"/>
                </m:rPr>
                <w:rPr>
                  <w:rFonts w:ascii="Cambria Math" w:hAnsi="Cambria Math"/>
                </w:rPr>
                <m:t xml:space="preserve"> </m:t>
              </m:r>
              <m:r>
                <w:rPr>
                  <w:rFonts w:ascii="Cambria Math" w:hAnsi="Cambria Math"/>
                </w:rPr>
                <m:t>treatment</m:t>
              </m:r>
            </m:sub>
          </m:sSub>
          <m:r>
            <m:rPr>
              <m:sty m:val="p"/>
            </m:rPr>
            <w:rPr>
              <w:rFonts w:ascii="Cambria Math" w:hAnsi="Cambria Math"/>
            </w:rPr>
            <m:t>=1-</m:t>
          </m:r>
          <m:sSup>
            <m:sSupPr>
              <m:ctrlPr>
                <w:rPr>
                  <w:rFonts w:ascii="Cambria Math" w:hAnsi="Cambria Math"/>
                </w:rPr>
              </m:ctrlPr>
            </m:sSupPr>
            <m:e>
              <m:sSub>
                <m:sSubPr>
                  <m:ctrlPr>
                    <w:rPr>
                      <w:rFonts w:ascii="Cambria Math" w:hAnsi="Cambria Math"/>
                    </w:rPr>
                  </m:ctrlPr>
                </m:sSubPr>
                <m:e>
                  <m:r>
                    <m:rPr>
                      <m:sty m:val="p"/>
                    </m:rPr>
                    <w:rPr>
                      <w:rFonts w:ascii="Cambria Math" w:hAnsi="Cambria Math"/>
                    </w:rPr>
                    <m:t>(1-</m:t>
                  </m:r>
                  <m:r>
                    <w:rPr>
                      <w:rFonts w:ascii="Cambria Math" w:hAnsi="Cambria Math"/>
                    </w:rPr>
                    <m:t>risk</m:t>
                  </m:r>
                </m:e>
                <m:sub>
                  <m:r>
                    <w:rPr>
                      <w:rFonts w:ascii="Cambria Math" w:hAnsi="Cambria Math"/>
                    </w:rPr>
                    <m:t>original</m:t>
                  </m:r>
                </m:sub>
              </m:sSub>
            </m:e>
            <m:sup>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r>
                                <w:rPr>
                                  <w:rFonts w:ascii="Cambria Math" w:hAnsi="Cambria Math"/>
                                </w:rPr>
                                <m:t>HR</m:t>
                              </m:r>
                            </m:e>
                          </m:d>
                          <m:r>
                            <m:rPr>
                              <m:sty m:val="p"/>
                            </m:rPr>
                            <w:rPr>
                              <w:rFonts w:ascii="Cambria Math" w:hAnsi="Cambria Math"/>
                            </w:rPr>
                            <m:t>×(</m:t>
                          </m:r>
                          <m:f>
                            <m:fPr>
                              <m:ctrlPr>
                                <w:rPr>
                                  <w:rFonts w:ascii="Cambria Math" w:hAnsi="Cambria Math"/>
                                </w:rPr>
                              </m:ctrlPr>
                            </m:fPr>
                            <m:num>
                              <m:r>
                                <w:rPr>
                                  <w:rFonts w:ascii="Cambria Math" w:hAnsi="Cambria Math"/>
                                </w:rPr>
                                <m:t>SBP</m:t>
                              </m:r>
                              <m:r>
                                <m:rPr>
                                  <m:sty m:val="p"/>
                                </m:rPr>
                                <w:rPr>
                                  <w:rFonts w:ascii="Cambria Math" w:hAnsi="Cambria Math"/>
                                </w:rPr>
                                <m:t xml:space="preserve"> </m:t>
                              </m:r>
                              <m:r>
                                <w:rPr>
                                  <w:rFonts w:ascii="Cambria Math" w:hAnsi="Cambria Math"/>
                                </w:rPr>
                                <m:t>reduction</m:t>
                              </m:r>
                            </m:num>
                            <m:den>
                              <m:r>
                                <m:rPr>
                                  <m:sty m:val="p"/>
                                </m:rPr>
                                <w:rPr>
                                  <w:rFonts w:ascii="Cambria Math" w:hAnsi="Cambria Math"/>
                                </w:rPr>
                                <m:t>10</m:t>
                              </m:r>
                            </m:den>
                          </m:f>
                          <m:r>
                            <m:rPr>
                              <m:sty m:val="p"/>
                            </m:rPr>
                            <w:rPr>
                              <w:rFonts w:ascii="Cambria Math" w:hAnsi="Cambria Math"/>
                            </w:rPr>
                            <m:t>)</m:t>
                          </m:r>
                        </m:e>
                      </m:func>
                    </m:e>
                  </m:d>
                </m:e>
              </m:func>
            </m:sup>
          </m:sSup>
          <m:r>
            <m:rPr>
              <m:sty m:val="p"/>
            </m:rPr>
            <w:rPr>
              <w:rFonts w:ascii="Cambria Math" w:eastAsiaTheme="minorEastAsia" w:hAnsi="Cambria Math"/>
            </w:rPr>
            <m:t>)</m:t>
          </m:r>
        </m:oMath>
      </m:oMathPara>
    </w:p>
    <w:p w:rsidR="00C26AF6" w:rsidRPr="00B2496F" w:rsidRDefault="00C26AF6" w:rsidP="00225592">
      <w:pPr>
        <w:pStyle w:val="dGewonetekst"/>
      </w:pPr>
      <w:r w:rsidRPr="00B2496F">
        <w:t>Treatment benefit for individual patients is defined as the absolute risk reduction (ARR) from treatment:</w:t>
      </w:r>
    </w:p>
    <w:p w:rsidR="00C26AF6" w:rsidRPr="00B2496F" w:rsidRDefault="00C26AF6" w:rsidP="00225592">
      <w:pPr>
        <w:pStyle w:val="dGewonetekst"/>
      </w:pPr>
      <m:oMathPara>
        <m:oMath>
          <m:r>
            <w:rPr>
              <w:rFonts w:ascii="Cambria Math" w:hAnsi="Cambria Math"/>
            </w:rPr>
            <m:t>ARR</m:t>
          </m:r>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risk</m:t>
                  </m:r>
                </m:e>
                <m:sub>
                  <m:r>
                    <w:rPr>
                      <w:rFonts w:ascii="Cambria Math" w:hAnsi="Cambria Math"/>
                    </w:rPr>
                    <m:t>original</m:t>
                  </m:r>
                </m:sub>
              </m:sSub>
              <m:r>
                <m:rPr>
                  <m:sty m:val="p"/>
                </m:rPr>
                <w:rPr>
                  <w:rFonts w:ascii="Cambria Math" w:hAnsi="Cambria Math"/>
                </w:rPr>
                <m:t>-</m:t>
              </m:r>
              <m:sSub>
                <m:sSubPr>
                  <m:ctrlPr>
                    <w:rPr>
                      <w:rFonts w:ascii="Cambria Math" w:hAnsi="Cambria Math"/>
                    </w:rPr>
                  </m:ctrlPr>
                </m:sSubPr>
                <m:e>
                  <m:r>
                    <w:rPr>
                      <w:rFonts w:ascii="Cambria Math" w:hAnsi="Cambria Math"/>
                    </w:rPr>
                    <m:t>risk</m:t>
                  </m:r>
                </m:e>
                <m:sub>
                  <m:r>
                    <w:rPr>
                      <w:rFonts w:ascii="Cambria Math" w:hAnsi="Cambria Math"/>
                    </w:rPr>
                    <m:t>with</m:t>
                  </m:r>
                  <m:r>
                    <m:rPr>
                      <m:sty m:val="p"/>
                    </m:rPr>
                    <w:rPr>
                      <w:rFonts w:ascii="Cambria Math" w:hAnsi="Cambria Math"/>
                    </w:rPr>
                    <m:t xml:space="preserve"> </m:t>
                  </m:r>
                  <m:r>
                    <w:rPr>
                      <w:rFonts w:ascii="Cambria Math" w:hAnsi="Cambria Math"/>
                    </w:rPr>
                    <m:t>treatment</m:t>
                  </m:r>
                </m:sub>
              </m:sSub>
            </m:e>
          </m:d>
          <m:r>
            <m:rPr>
              <m:sty m:val="p"/>
            </m:rPr>
            <w:rPr>
              <w:rFonts w:ascii="Cambria Math" w:hAnsi="Cambria Math"/>
            </w:rPr>
            <m:t>*100</m:t>
          </m:r>
        </m:oMath>
      </m:oMathPara>
    </w:p>
    <w:p w:rsidR="00C26AF6" w:rsidRPr="00B2496F" w:rsidRDefault="00C26AF6" w:rsidP="00225592">
      <w:pPr>
        <w:pStyle w:val="dGewonetekst"/>
      </w:pPr>
    </w:p>
    <w:p w:rsidR="00C26AF6" w:rsidRPr="00B2496F" w:rsidRDefault="00C26AF6" w:rsidP="00225592">
      <w:pPr>
        <w:pStyle w:val="dGewonetekst"/>
      </w:pPr>
      <w:r w:rsidRPr="00B2496F">
        <w:t>Histograms were constructed showing the distribution of treatment effects from blood pressure lowering in the combined study population fr</w:t>
      </w:r>
      <w:r w:rsidR="00891B51" w:rsidRPr="00B2496F">
        <w:t xml:space="preserve">om the HYVET and SPRINT trials </w:t>
      </w:r>
      <w:r w:rsidRPr="00B2496F">
        <w:t>(Figure 4)</w:t>
      </w:r>
      <w:r w:rsidR="00891B51" w:rsidRPr="00B2496F">
        <w:t>, and from lipid lowering in the PROSPER trial (Figure 5), respectively</w:t>
      </w:r>
      <w:r w:rsidRPr="00B2496F">
        <w:t>.</w:t>
      </w:r>
    </w:p>
    <w:p w:rsidR="00C26AF6" w:rsidRPr="00B2496F" w:rsidRDefault="00C26AF6" w:rsidP="00225592">
      <w:pPr>
        <w:pStyle w:val="dGewonetekst"/>
      </w:pPr>
      <w:r w:rsidRPr="00B2496F">
        <w:br w:type="page"/>
      </w:r>
    </w:p>
    <w:p w:rsidR="00F45927" w:rsidRPr="00B2496F" w:rsidRDefault="00F45927" w:rsidP="00225592">
      <w:pPr>
        <w:pStyle w:val="dGewonetekst"/>
        <w:sectPr w:rsidR="00F45927" w:rsidRPr="00B2496F" w:rsidSect="00CC7DDD">
          <w:footerReference w:type="default" r:id="rId8"/>
          <w:pgSz w:w="12240" w:h="15840"/>
          <w:pgMar w:top="1276" w:right="1440" w:bottom="1276" w:left="1440" w:header="284" w:footer="31" w:gutter="0"/>
          <w:pgNumType w:start="1"/>
          <w:cols w:space="720"/>
          <w:docGrid w:linePitch="360"/>
        </w:sectPr>
      </w:pPr>
    </w:p>
    <w:p w:rsidR="0098527B" w:rsidRPr="00B2496F" w:rsidRDefault="0098527B" w:rsidP="0098527B">
      <w:pPr>
        <w:pStyle w:val="aParagraafkop"/>
      </w:pPr>
      <w:r w:rsidRPr="00B2496F">
        <w:lastRenderedPageBreak/>
        <w:t xml:space="preserve">Supplementary Methods Table 1: </w:t>
      </w:r>
      <w:r w:rsidRPr="00B2496F">
        <w:rPr>
          <w:b w:val="0"/>
        </w:rPr>
        <w:t>Region-specific rescaling factors</w:t>
      </w:r>
    </w:p>
    <w:tbl>
      <w:tblPr>
        <w:tblStyle w:val="Tabelraster"/>
        <w:tblW w:w="6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945"/>
        <w:gridCol w:w="945"/>
        <w:gridCol w:w="945"/>
        <w:gridCol w:w="945"/>
      </w:tblGrid>
      <w:tr w:rsidR="0098527B" w:rsidRPr="00B2496F" w:rsidTr="005A7088">
        <w:trPr>
          <w:trHeight w:val="379"/>
        </w:trPr>
        <w:tc>
          <w:tcPr>
            <w:tcW w:w="2694" w:type="dxa"/>
            <w:tcBorders>
              <w:top w:val="single" w:sz="4" w:space="0" w:color="auto"/>
            </w:tcBorders>
          </w:tcPr>
          <w:p w:rsidR="0098527B" w:rsidRPr="00B2496F" w:rsidRDefault="0098527B" w:rsidP="005A7088">
            <w:pPr>
              <w:pStyle w:val="dGewonetekst"/>
              <w:rPr>
                <w:szCs w:val="20"/>
              </w:rPr>
            </w:pPr>
          </w:p>
        </w:tc>
        <w:tc>
          <w:tcPr>
            <w:tcW w:w="1890" w:type="dxa"/>
            <w:gridSpan w:val="2"/>
            <w:tcBorders>
              <w:top w:val="single" w:sz="4" w:space="0" w:color="auto"/>
              <w:bottom w:val="single" w:sz="4" w:space="0" w:color="auto"/>
            </w:tcBorders>
            <w:vAlign w:val="bottom"/>
          </w:tcPr>
          <w:p w:rsidR="0098527B" w:rsidRPr="00B2496F" w:rsidRDefault="0098527B" w:rsidP="005A7088">
            <w:pPr>
              <w:pStyle w:val="dGewonetekst"/>
              <w:rPr>
                <w:b/>
                <w:szCs w:val="20"/>
              </w:rPr>
            </w:pPr>
            <w:r w:rsidRPr="00B2496F">
              <w:rPr>
                <w:b/>
                <w:szCs w:val="20"/>
              </w:rPr>
              <w:t>Men</w:t>
            </w:r>
          </w:p>
        </w:tc>
        <w:tc>
          <w:tcPr>
            <w:tcW w:w="1890" w:type="dxa"/>
            <w:gridSpan w:val="2"/>
            <w:tcBorders>
              <w:top w:val="single" w:sz="4" w:space="0" w:color="000000"/>
              <w:bottom w:val="single" w:sz="4" w:space="0" w:color="auto"/>
            </w:tcBorders>
            <w:vAlign w:val="bottom"/>
          </w:tcPr>
          <w:p w:rsidR="0098527B" w:rsidRPr="00B2496F" w:rsidRDefault="0098527B" w:rsidP="005A7088">
            <w:pPr>
              <w:pStyle w:val="dGewonetekst"/>
              <w:rPr>
                <w:b/>
                <w:szCs w:val="20"/>
              </w:rPr>
            </w:pPr>
            <w:r w:rsidRPr="00B2496F">
              <w:rPr>
                <w:b/>
                <w:szCs w:val="20"/>
              </w:rPr>
              <w:t>Female</w:t>
            </w:r>
          </w:p>
        </w:tc>
      </w:tr>
      <w:tr w:rsidR="0098527B" w:rsidRPr="00B2496F" w:rsidTr="005A7088">
        <w:trPr>
          <w:trHeight w:val="379"/>
        </w:trPr>
        <w:tc>
          <w:tcPr>
            <w:tcW w:w="2694" w:type="dxa"/>
            <w:tcBorders>
              <w:top w:val="single" w:sz="4" w:space="0" w:color="auto"/>
            </w:tcBorders>
          </w:tcPr>
          <w:p w:rsidR="0098527B" w:rsidRPr="00B2496F" w:rsidRDefault="0098527B" w:rsidP="005A7088">
            <w:pPr>
              <w:pStyle w:val="dGewonetekst"/>
              <w:rPr>
                <w:szCs w:val="20"/>
              </w:rPr>
            </w:pPr>
          </w:p>
        </w:tc>
        <w:tc>
          <w:tcPr>
            <w:tcW w:w="945" w:type="dxa"/>
            <w:tcBorders>
              <w:top w:val="single" w:sz="4" w:space="0" w:color="auto"/>
              <w:bottom w:val="single" w:sz="4" w:space="0" w:color="auto"/>
            </w:tcBorders>
          </w:tcPr>
          <w:p w:rsidR="0098527B" w:rsidRPr="00B2496F" w:rsidRDefault="0098527B" w:rsidP="005A7088">
            <w:pPr>
              <w:pStyle w:val="dGewonetekst"/>
              <w:rPr>
                <w:i/>
                <w:szCs w:val="20"/>
              </w:rPr>
            </w:pPr>
            <w:r w:rsidRPr="00B2496F">
              <w:rPr>
                <w:i/>
                <w:szCs w:val="20"/>
              </w:rPr>
              <w:t>Scale 1</w:t>
            </w:r>
          </w:p>
        </w:tc>
        <w:tc>
          <w:tcPr>
            <w:tcW w:w="945" w:type="dxa"/>
            <w:tcBorders>
              <w:top w:val="single" w:sz="4" w:space="0" w:color="000000"/>
              <w:bottom w:val="single" w:sz="4" w:space="0" w:color="auto"/>
            </w:tcBorders>
          </w:tcPr>
          <w:p w:rsidR="0098527B" w:rsidRPr="00B2496F" w:rsidRDefault="0098527B" w:rsidP="005A7088">
            <w:pPr>
              <w:pStyle w:val="dGewonetekst"/>
              <w:rPr>
                <w:i/>
                <w:szCs w:val="20"/>
              </w:rPr>
            </w:pPr>
            <w:r w:rsidRPr="00B2496F">
              <w:rPr>
                <w:i/>
                <w:szCs w:val="20"/>
              </w:rPr>
              <w:t>Scale 2</w:t>
            </w:r>
          </w:p>
        </w:tc>
        <w:tc>
          <w:tcPr>
            <w:tcW w:w="945" w:type="dxa"/>
            <w:tcBorders>
              <w:top w:val="single" w:sz="4" w:space="0" w:color="000000"/>
              <w:bottom w:val="single" w:sz="4" w:space="0" w:color="auto"/>
            </w:tcBorders>
          </w:tcPr>
          <w:p w:rsidR="0098527B" w:rsidRPr="00B2496F" w:rsidRDefault="0098527B" w:rsidP="005A7088">
            <w:pPr>
              <w:pStyle w:val="dGewonetekst"/>
              <w:rPr>
                <w:i/>
                <w:szCs w:val="20"/>
              </w:rPr>
            </w:pPr>
            <w:r w:rsidRPr="00B2496F">
              <w:rPr>
                <w:i/>
                <w:szCs w:val="20"/>
              </w:rPr>
              <w:t>Scale 1</w:t>
            </w:r>
          </w:p>
        </w:tc>
        <w:tc>
          <w:tcPr>
            <w:tcW w:w="945" w:type="dxa"/>
            <w:tcBorders>
              <w:top w:val="single" w:sz="4" w:space="0" w:color="000000"/>
              <w:bottom w:val="single" w:sz="4" w:space="0" w:color="auto"/>
            </w:tcBorders>
          </w:tcPr>
          <w:p w:rsidR="0098527B" w:rsidRPr="00B2496F" w:rsidRDefault="0098527B" w:rsidP="005A7088">
            <w:pPr>
              <w:pStyle w:val="dGewonetekst"/>
              <w:rPr>
                <w:i/>
                <w:szCs w:val="20"/>
              </w:rPr>
            </w:pPr>
            <w:r w:rsidRPr="00B2496F">
              <w:rPr>
                <w:i/>
                <w:szCs w:val="20"/>
              </w:rPr>
              <w:t>Scale 2</w:t>
            </w:r>
          </w:p>
        </w:tc>
      </w:tr>
      <w:tr w:rsidR="0098527B" w:rsidRPr="00B2496F" w:rsidTr="005A7088">
        <w:trPr>
          <w:trHeight w:val="379"/>
        </w:trPr>
        <w:tc>
          <w:tcPr>
            <w:tcW w:w="2694" w:type="dxa"/>
          </w:tcPr>
          <w:p w:rsidR="0098527B" w:rsidRPr="00B2496F" w:rsidRDefault="0098527B" w:rsidP="005A7088">
            <w:pPr>
              <w:pStyle w:val="dGewonetekst"/>
              <w:rPr>
                <w:szCs w:val="20"/>
              </w:rPr>
            </w:pPr>
            <w:r w:rsidRPr="00B2496F">
              <w:rPr>
                <w:szCs w:val="20"/>
              </w:rPr>
              <w:t>Low risk region</w:t>
            </w:r>
          </w:p>
        </w:tc>
        <w:tc>
          <w:tcPr>
            <w:tcW w:w="945" w:type="dxa"/>
            <w:tcBorders>
              <w:top w:val="single" w:sz="4" w:space="0" w:color="auto"/>
            </w:tcBorders>
          </w:tcPr>
          <w:p w:rsidR="0098527B" w:rsidRPr="00B2496F" w:rsidRDefault="0098527B" w:rsidP="005A7088">
            <w:pPr>
              <w:rPr>
                <w:rFonts w:ascii="Arial" w:hAnsi="Arial" w:cs="Arial"/>
                <w:sz w:val="20"/>
                <w:szCs w:val="20"/>
              </w:rPr>
            </w:pPr>
            <w:r w:rsidRPr="00B2496F">
              <w:rPr>
                <w:rFonts w:ascii="Arial" w:hAnsi="Arial" w:cs="Arial"/>
                <w:sz w:val="20"/>
                <w:szCs w:val="20"/>
              </w:rPr>
              <w:t>-0.34</w:t>
            </w:r>
          </w:p>
        </w:tc>
        <w:tc>
          <w:tcPr>
            <w:tcW w:w="945" w:type="dxa"/>
            <w:tcBorders>
              <w:top w:val="single" w:sz="4" w:space="0" w:color="auto"/>
            </w:tcBorders>
          </w:tcPr>
          <w:p w:rsidR="0098527B" w:rsidRPr="00B2496F" w:rsidRDefault="0098527B" w:rsidP="005A7088">
            <w:pPr>
              <w:rPr>
                <w:rFonts w:ascii="Arial" w:hAnsi="Arial" w:cs="Arial"/>
                <w:sz w:val="20"/>
                <w:szCs w:val="20"/>
              </w:rPr>
            </w:pPr>
            <w:r w:rsidRPr="00B2496F">
              <w:rPr>
                <w:rFonts w:ascii="Arial" w:hAnsi="Arial" w:cs="Arial"/>
                <w:sz w:val="20"/>
                <w:szCs w:val="20"/>
              </w:rPr>
              <w:t>1.19</w:t>
            </w:r>
          </w:p>
        </w:tc>
        <w:tc>
          <w:tcPr>
            <w:tcW w:w="945" w:type="dxa"/>
            <w:tcBorders>
              <w:top w:val="single" w:sz="4" w:space="0" w:color="auto"/>
            </w:tcBorders>
          </w:tcPr>
          <w:p w:rsidR="0098527B" w:rsidRPr="00B2496F" w:rsidRDefault="0098527B" w:rsidP="005A7088">
            <w:pPr>
              <w:rPr>
                <w:rFonts w:ascii="Arial" w:hAnsi="Arial" w:cs="Arial"/>
                <w:sz w:val="20"/>
                <w:szCs w:val="20"/>
              </w:rPr>
            </w:pPr>
            <w:r w:rsidRPr="00B2496F">
              <w:rPr>
                <w:rFonts w:ascii="Arial" w:hAnsi="Arial" w:cs="Arial"/>
                <w:sz w:val="20"/>
                <w:szCs w:val="20"/>
              </w:rPr>
              <w:t>-0.52</w:t>
            </w:r>
          </w:p>
        </w:tc>
        <w:tc>
          <w:tcPr>
            <w:tcW w:w="945" w:type="dxa"/>
            <w:tcBorders>
              <w:top w:val="single" w:sz="4" w:space="0" w:color="auto"/>
            </w:tcBorders>
          </w:tcPr>
          <w:p w:rsidR="0098527B" w:rsidRPr="00B2496F" w:rsidRDefault="0098527B" w:rsidP="005A7088">
            <w:pPr>
              <w:rPr>
                <w:rFonts w:ascii="Arial" w:hAnsi="Arial" w:cs="Arial"/>
                <w:sz w:val="20"/>
                <w:szCs w:val="20"/>
              </w:rPr>
            </w:pPr>
            <w:r w:rsidRPr="00B2496F">
              <w:rPr>
                <w:rFonts w:ascii="Arial" w:hAnsi="Arial" w:cs="Arial"/>
                <w:sz w:val="20"/>
                <w:szCs w:val="20"/>
              </w:rPr>
              <w:t>1.01</w:t>
            </w:r>
          </w:p>
        </w:tc>
      </w:tr>
      <w:tr w:rsidR="0098527B" w:rsidRPr="00B2496F" w:rsidTr="005A7088">
        <w:trPr>
          <w:trHeight w:val="380"/>
        </w:trPr>
        <w:tc>
          <w:tcPr>
            <w:tcW w:w="2694" w:type="dxa"/>
          </w:tcPr>
          <w:p w:rsidR="0098527B" w:rsidRPr="00B2496F" w:rsidRDefault="0098527B" w:rsidP="005A7088">
            <w:pPr>
              <w:pStyle w:val="dGewonetekst"/>
              <w:rPr>
                <w:szCs w:val="20"/>
              </w:rPr>
            </w:pPr>
            <w:r w:rsidRPr="00B2496F">
              <w:rPr>
                <w:szCs w:val="20"/>
              </w:rPr>
              <w:t>Moderate risk region</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0.01</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1.25</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-0.1</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1.1</w:t>
            </w:r>
          </w:p>
        </w:tc>
      </w:tr>
      <w:tr w:rsidR="0098527B" w:rsidRPr="00B2496F" w:rsidTr="005A7088">
        <w:trPr>
          <w:trHeight w:val="379"/>
        </w:trPr>
        <w:tc>
          <w:tcPr>
            <w:tcW w:w="2694" w:type="dxa"/>
          </w:tcPr>
          <w:p w:rsidR="0098527B" w:rsidRPr="00B2496F" w:rsidRDefault="0098527B" w:rsidP="005A7088">
            <w:pPr>
              <w:pStyle w:val="dGewonetekst"/>
              <w:rPr>
                <w:szCs w:val="20"/>
              </w:rPr>
            </w:pPr>
            <w:r w:rsidRPr="00B2496F">
              <w:rPr>
                <w:szCs w:val="20"/>
              </w:rPr>
              <w:t>High risk region</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0.08</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1.15</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0.38</w:t>
            </w:r>
          </w:p>
        </w:tc>
        <w:tc>
          <w:tcPr>
            <w:tcW w:w="945" w:type="dxa"/>
          </w:tcPr>
          <w:p w:rsidR="0098527B" w:rsidRPr="00B2496F" w:rsidRDefault="0098527B" w:rsidP="005A7088">
            <w:pPr>
              <w:rPr>
                <w:rFonts w:ascii="Arial" w:hAnsi="Arial" w:cs="Arial"/>
                <w:sz w:val="20"/>
                <w:szCs w:val="20"/>
              </w:rPr>
            </w:pPr>
            <w:r w:rsidRPr="00B2496F">
              <w:rPr>
                <w:rFonts w:ascii="Arial" w:hAnsi="Arial" w:cs="Arial"/>
                <w:sz w:val="20"/>
                <w:szCs w:val="20"/>
              </w:rPr>
              <w:t>1.09</w:t>
            </w:r>
          </w:p>
        </w:tc>
      </w:tr>
      <w:tr w:rsidR="0098527B" w:rsidRPr="00B2496F" w:rsidTr="005A7088">
        <w:trPr>
          <w:trHeight w:val="380"/>
        </w:trPr>
        <w:tc>
          <w:tcPr>
            <w:tcW w:w="2694" w:type="dxa"/>
            <w:tcBorders>
              <w:bottom w:val="single" w:sz="4" w:space="0" w:color="000000"/>
            </w:tcBorders>
          </w:tcPr>
          <w:p w:rsidR="0098527B" w:rsidRPr="00B2496F" w:rsidRDefault="0098527B" w:rsidP="005A7088">
            <w:pPr>
              <w:pStyle w:val="dGewonetekst"/>
              <w:rPr>
                <w:szCs w:val="20"/>
              </w:rPr>
            </w:pPr>
            <w:r w:rsidRPr="00B2496F">
              <w:rPr>
                <w:szCs w:val="20"/>
              </w:rPr>
              <w:t>Very high risk region</w:t>
            </w:r>
          </w:p>
        </w:tc>
        <w:tc>
          <w:tcPr>
            <w:tcW w:w="945" w:type="dxa"/>
            <w:tcBorders>
              <w:bottom w:val="single" w:sz="4" w:space="0" w:color="000000"/>
            </w:tcBorders>
          </w:tcPr>
          <w:p w:rsidR="0098527B" w:rsidRPr="00B2496F" w:rsidRDefault="0098527B" w:rsidP="005A7088">
            <w:pPr>
              <w:rPr>
                <w:rFonts w:ascii="Arial" w:hAnsi="Arial" w:cs="Arial"/>
                <w:sz w:val="20"/>
                <w:szCs w:val="20"/>
              </w:rPr>
            </w:pPr>
            <w:r w:rsidRPr="00B2496F">
              <w:rPr>
                <w:rFonts w:ascii="Arial" w:hAnsi="Arial" w:cs="Arial"/>
                <w:sz w:val="20"/>
                <w:szCs w:val="20"/>
              </w:rPr>
              <w:t>0.05</w:t>
            </w:r>
          </w:p>
        </w:tc>
        <w:tc>
          <w:tcPr>
            <w:tcW w:w="945" w:type="dxa"/>
            <w:tcBorders>
              <w:bottom w:val="single" w:sz="4" w:space="0" w:color="000000"/>
            </w:tcBorders>
          </w:tcPr>
          <w:p w:rsidR="0098527B" w:rsidRPr="00B2496F" w:rsidRDefault="0098527B" w:rsidP="005A7088">
            <w:pPr>
              <w:rPr>
                <w:rFonts w:ascii="Arial" w:hAnsi="Arial" w:cs="Arial"/>
                <w:sz w:val="20"/>
                <w:szCs w:val="20"/>
              </w:rPr>
            </w:pPr>
            <w:r w:rsidRPr="00B2496F">
              <w:rPr>
                <w:rFonts w:ascii="Arial" w:hAnsi="Arial" w:cs="Arial"/>
                <w:sz w:val="20"/>
                <w:szCs w:val="20"/>
              </w:rPr>
              <w:t>0.7</w:t>
            </w:r>
          </w:p>
        </w:tc>
        <w:tc>
          <w:tcPr>
            <w:tcW w:w="945" w:type="dxa"/>
            <w:tcBorders>
              <w:bottom w:val="single" w:sz="4" w:space="0" w:color="000000"/>
            </w:tcBorders>
          </w:tcPr>
          <w:p w:rsidR="0098527B" w:rsidRPr="00B2496F" w:rsidRDefault="0098527B" w:rsidP="005A7088">
            <w:pPr>
              <w:rPr>
                <w:rFonts w:ascii="Arial" w:hAnsi="Arial" w:cs="Arial"/>
                <w:sz w:val="20"/>
                <w:szCs w:val="20"/>
              </w:rPr>
            </w:pPr>
            <w:r w:rsidRPr="00B2496F">
              <w:rPr>
                <w:rFonts w:ascii="Arial" w:hAnsi="Arial" w:cs="Arial"/>
                <w:sz w:val="20"/>
                <w:szCs w:val="20"/>
              </w:rPr>
              <w:t>0.38</w:t>
            </w:r>
          </w:p>
        </w:tc>
        <w:tc>
          <w:tcPr>
            <w:tcW w:w="945" w:type="dxa"/>
            <w:tcBorders>
              <w:bottom w:val="single" w:sz="4" w:space="0" w:color="000000"/>
            </w:tcBorders>
          </w:tcPr>
          <w:p w:rsidR="0098527B" w:rsidRPr="00B2496F" w:rsidRDefault="0098527B" w:rsidP="005A7088">
            <w:pPr>
              <w:rPr>
                <w:rFonts w:ascii="Arial" w:hAnsi="Arial" w:cs="Arial"/>
                <w:sz w:val="20"/>
                <w:szCs w:val="20"/>
              </w:rPr>
            </w:pPr>
            <w:r w:rsidRPr="00B2496F">
              <w:rPr>
                <w:rFonts w:ascii="Arial" w:hAnsi="Arial" w:cs="Arial"/>
                <w:sz w:val="20"/>
                <w:szCs w:val="20"/>
              </w:rPr>
              <w:t>0.69</w:t>
            </w:r>
          </w:p>
        </w:tc>
      </w:tr>
    </w:tbl>
    <w:p w:rsidR="0098527B" w:rsidRPr="00B2496F" w:rsidRDefault="0098527B" w:rsidP="0098527B">
      <w:pPr>
        <w:pStyle w:val="Geenafstand"/>
        <w:spacing w:line="480" w:lineRule="auto"/>
        <w:jc w:val="both"/>
        <w:rPr>
          <w:rFonts w:ascii="Arial" w:hAnsi="Arial" w:cs="Arial"/>
          <w:sz w:val="20"/>
        </w:rPr>
      </w:pPr>
    </w:p>
    <w:p w:rsidR="0098527B" w:rsidRPr="00B2496F" w:rsidRDefault="0098527B" w:rsidP="0098527B">
      <w:pPr>
        <w:pStyle w:val="Geenafstand"/>
        <w:spacing w:line="480" w:lineRule="auto"/>
        <w:jc w:val="both"/>
        <w:rPr>
          <w:rFonts w:ascii="Arial" w:hAnsi="Arial" w:cs="Arial"/>
          <w:sz w:val="20"/>
          <w:lang w:val="en-US"/>
        </w:rPr>
      </w:pPr>
      <w:r w:rsidRPr="00B2496F">
        <w:rPr>
          <w:rFonts w:ascii="Arial" w:hAnsi="Arial" w:cs="Arial"/>
          <w:sz w:val="20"/>
          <w:lang w:val="en-US"/>
        </w:rPr>
        <w:t>Rescaling factors for the SCORE2-OP model to scale predicted risks to the target population in very risk region, based recent nationally representative estimates of incident cardiovascular disease and risk factor levels.</w:t>
      </w:r>
    </w:p>
    <w:p w:rsidR="0098527B" w:rsidRPr="00B2496F" w:rsidRDefault="0098527B" w:rsidP="0098527B">
      <w:pPr>
        <w:rPr>
          <w:rFonts w:ascii="Arial" w:hAnsi="Arial" w:cs="Arial"/>
          <w:sz w:val="20"/>
        </w:rPr>
      </w:pPr>
      <w:r w:rsidRPr="00B2496F">
        <w:rPr>
          <w:rFonts w:ascii="Arial" w:hAnsi="Arial" w:cs="Arial"/>
          <w:sz w:val="20"/>
        </w:rPr>
        <w:br w:type="page"/>
      </w:r>
    </w:p>
    <w:p w:rsidR="00841F8D" w:rsidRPr="00B2496F" w:rsidRDefault="00841F8D" w:rsidP="00841F8D">
      <w:pPr>
        <w:pStyle w:val="aParagraafkop"/>
        <w:rPr>
          <w:b w:val="0"/>
        </w:rPr>
      </w:pPr>
      <w:r w:rsidRPr="00B2496F">
        <w:lastRenderedPageBreak/>
        <w:t xml:space="preserve">Supplementary Methods Table 2: </w:t>
      </w:r>
      <w:r w:rsidRPr="00B2496F">
        <w:rPr>
          <w:b w:val="0"/>
        </w:rPr>
        <w:t>A stepwise approach to estimating 10-year CVD risk for an individual patient</w:t>
      </w:r>
    </w:p>
    <w:tbl>
      <w:tblPr>
        <w:tblStyle w:val="Tabelraster"/>
        <w:tblW w:w="0" w:type="auto"/>
        <w:tblLook w:val="04A0" w:firstRow="1" w:lastRow="0" w:firstColumn="1" w:lastColumn="0" w:noHBand="0" w:noVBand="1"/>
      </w:tblPr>
      <w:tblGrid>
        <w:gridCol w:w="2689"/>
        <w:gridCol w:w="6661"/>
      </w:tblGrid>
      <w:tr w:rsidR="00841F8D" w:rsidRPr="00B2496F" w:rsidTr="005A7088">
        <w:tc>
          <w:tcPr>
            <w:tcW w:w="9350" w:type="dxa"/>
            <w:gridSpan w:val="2"/>
          </w:tcPr>
          <w:p w:rsidR="00841F8D" w:rsidRPr="00B2496F" w:rsidRDefault="00841F8D" w:rsidP="005A7088">
            <w:pPr>
              <w:pStyle w:val="Geenafstand"/>
              <w:spacing w:line="360" w:lineRule="auto"/>
              <w:jc w:val="both"/>
              <w:rPr>
                <w:rFonts w:ascii="Arial" w:hAnsi="Arial" w:cs="Arial"/>
                <w:b/>
                <w:sz w:val="18"/>
              </w:rPr>
            </w:pPr>
            <w:r w:rsidRPr="00B2496F">
              <w:rPr>
                <w:rFonts w:ascii="Arial" w:hAnsi="Arial" w:cs="Arial"/>
                <w:b/>
                <w:sz w:val="18"/>
              </w:rPr>
              <w:t>Calculate 10-year CVD event risk</w:t>
            </w:r>
          </w:p>
        </w:tc>
      </w:tr>
      <w:tr w:rsidR="00841F8D" w:rsidRPr="00B2496F" w:rsidTr="005A7088">
        <w:tc>
          <w:tcPr>
            <w:tcW w:w="2689" w:type="dxa"/>
          </w:tcPr>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1. Calculate individual model linear predictor (LP)</w:t>
            </w:r>
          </w:p>
        </w:tc>
        <w:tc>
          <w:tcPr>
            <w:tcW w:w="6661" w:type="dxa"/>
          </w:tcPr>
          <w:p w:rsidR="00841F8D" w:rsidRPr="00B2496F" w:rsidRDefault="00841F8D" w:rsidP="005A7088">
            <w:pPr>
              <w:pStyle w:val="Geenafstand"/>
              <w:spacing w:line="360" w:lineRule="auto"/>
              <w:jc w:val="both"/>
              <w:rPr>
                <w:rFonts w:ascii="Arial" w:hAnsi="Arial" w:cs="Arial"/>
                <w:b/>
                <w:sz w:val="18"/>
                <w:vertAlign w:val="subscript"/>
              </w:rPr>
            </w:pPr>
            <w:r w:rsidRPr="00B2496F">
              <w:rPr>
                <w:rFonts w:ascii="Arial" w:hAnsi="Arial" w:cs="Arial"/>
                <w:b/>
                <w:sz w:val="18"/>
              </w:rPr>
              <w:t>LP = ∑β</w:t>
            </w:r>
            <w:r w:rsidRPr="00B2496F">
              <w:rPr>
                <w:rFonts w:ascii="Arial" w:hAnsi="Arial" w:cs="Arial"/>
                <w:b/>
                <w:sz w:val="18"/>
                <w:vertAlign w:val="subscript"/>
              </w:rPr>
              <w:t>sex-specific</w:t>
            </w:r>
            <w:r w:rsidRPr="00B2496F">
              <w:rPr>
                <w:rFonts w:ascii="Arial" w:hAnsi="Arial" w:cs="Arial"/>
                <w:b/>
                <w:sz w:val="18"/>
              </w:rPr>
              <w:t xml:space="preserve"> * (x - x</w:t>
            </w:r>
            <w:r w:rsidRPr="00B2496F">
              <w:rPr>
                <w:rFonts w:ascii="Arial" w:hAnsi="Arial" w:cs="Arial"/>
                <w:b/>
                <w:sz w:val="18"/>
                <w:vertAlign w:val="subscript"/>
              </w:rPr>
              <w:t>cen</w:t>
            </w:r>
            <w:r w:rsidRPr="00B2496F">
              <w:rPr>
                <w:rFonts w:ascii="Arial" w:hAnsi="Arial" w:cs="Arial"/>
                <w:b/>
                <w:sz w:val="18"/>
              </w:rPr>
              <w:t xml:space="preserve">) </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Where:</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β</w:t>
            </w:r>
            <w:r w:rsidRPr="00B2496F">
              <w:rPr>
                <w:rFonts w:ascii="Arial" w:hAnsi="Arial" w:cs="Arial"/>
                <w:sz w:val="18"/>
                <w:vertAlign w:val="subscript"/>
              </w:rPr>
              <w:t>sex-specific</w:t>
            </w:r>
            <w:r w:rsidRPr="00B2496F">
              <w:rPr>
                <w:rFonts w:ascii="Arial" w:hAnsi="Arial" w:cs="Arial"/>
                <w:sz w:val="18"/>
              </w:rPr>
              <w:t xml:space="preserve"> are the sex-specific coefficients (Table 2),</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x is the individual person value of the predictor</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x</w:t>
            </w:r>
            <w:r w:rsidRPr="00B2496F">
              <w:rPr>
                <w:rFonts w:ascii="Arial" w:hAnsi="Arial" w:cs="Arial"/>
                <w:sz w:val="18"/>
                <w:vertAlign w:val="subscript"/>
              </w:rPr>
              <w:t xml:space="preserve">cen </w:t>
            </w:r>
            <w:r w:rsidRPr="00B2496F">
              <w:rPr>
                <w:rFonts w:ascii="Arial" w:hAnsi="Arial" w:cs="Arial"/>
                <w:sz w:val="18"/>
              </w:rPr>
              <w:t>is the value at which each predictor was centered: age = 73, SBP = 150; total cholesterol = 6; HDL cholesterol =1.4.</w:t>
            </w:r>
          </w:p>
        </w:tc>
      </w:tr>
      <w:tr w:rsidR="00841F8D" w:rsidRPr="00B2496F" w:rsidTr="005A7088">
        <w:tc>
          <w:tcPr>
            <w:tcW w:w="2689" w:type="dxa"/>
          </w:tcPr>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2. Calculate the original (or unrecalibrated) 10-year risk (θ</w:t>
            </w:r>
            <w:r w:rsidRPr="00B2496F">
              <w:rPr>
                <w:rFonts w:ascii="Arial" w:hAnsi="Arial" w:cs="Arial"/>
                <w:sz w:val="18"/>
                <w:vertAlign w:val="subscript"/>
              </w:rPr>
              <w:t>original</w:t>
            </w:r>
            <w:r w:rsidRPr="00B2496F">
              <w:rPr>
                <w:rFonts w:ascii="Arial" w:hAnsi="Arial" w:cs="Arial"/>
                <w:sz w:val="18"/>
              </w:rPr>
              <w:t>)</w:t>
            </w:r>
          </w:p>
        </w:tc>
        <w:tc>
          <w:tcPr>
            <w:tcW w:w="6661" w:type="dxa"/>
          </w:tcPr>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θ</w:t>
            </w:r>
            <w:r w:rsidRPr="00B2496F">
              <w:rPr>
                <w:rFonts w:ascii="Arial" w:hAnsi="Arial" w:cs="Arial"/>
                <w:b/>
                <w:sz w:val="18"/>
                <w:vertAlign w:val="subscript"/>
              </w:rPr>
              <w:t xml:space="preserve"> original</w:t>
            </w:r>
            <w:r w:rsidRPr="00B2496F">
              <w:rPr>
                <w:rFonts w:ascii="Arial" w:hAnsi="Arial" w:cs="Arial"/>
                <w:b/>
                <w:sz w:val="18"/>
              </w:rPr>
              <w:t xml:space="preserve"> = 1 – basesurv</w:t>
            </w:r>
            <w:r w:rsidRPr="00B2496F">
              <w:rPr>
                <w:rFonts w:ascii="Arial" w:hAnsi="Arial" w:cs="Arial"/>
                <w:b/>
                <w:sz w:val="18"/>
                <w:vertAlign w:val="subscript"/>
              </w:rPr>
              <w:t>sex-specific</w:t>
            </w:r>
            <w:r w:rsidRPr="00B2496F">
              <w:rPr>
                <w:rFonts w:ascii="Arial" w:hAnsi="Arial" w:cs="Arial"/>
                <w:b/>
                <w:sz w:val="18"/>
              </w:rPr>
              <w:t>^exp(LP – meanLP</w:t>
            </w:r>
            <w:r w:rsidRPr="00B2496F">
              <w:rPr>
                <w:rFonts w:ascii="Arial" w:hAnsi="Arial" w:cs="Arial"/>
                <w:b/>
                <w:sz w:val="18"/>
                <w:vertAlign w:val="subscript"/>
              </w:rPr>
              <w:t>sex-specific</w:t>
            </w:r>
            <w:r w:rsidRPr="00B2496F">
              <w:rPr>
                <w:rFonts w:ascii="Arial" w:hAnsi="Arial" w:cs="Arial"/>
                <w:b/>
                <w:sz w:val="18"/>
              </w:rPr>
              <w:t>)</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Where:</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Basesurv</w:t>
            </w:r>
            <w:r w:rsidRPr="00B2496F">
              <w:rPr>
                <w:rFonts w:ascii="Arial" w:hAnsi="Arial" w:cs="Arial"/>
                <w:sz w:val="18"/>
                <w:vertAlign w:val="subscript"/>
              </w:rPr>
              <w:t>sex-specific</w:t>
            </w:r>
            <w:r w:rsidRPr="00B2496F">
              <w:rPr>
                <w:rFonts w:ascii="Arial" w:hAnsi="Arial" w:cs="Arial"/>
                <w:sz w:val="18"/>
              </w:rPr>
              <w:t xml:space="preserve"> is the sex-specific 10-year baseline survival for an average patient: for men, 0.758; for women, 0.808</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meanLP is the sex-specific mean linear predictor: for men, 0.093; for women, 0.229</w:t>
            </w:r>
          </w:p>
        </w:tc>
      </w:tr>
      <w:tr w:rsidR="00841F8D" w:rsidRPr="00B2496F" w:rsidTr="005A7088">
        <w:tc>
          <w:tcPr>
            <w:tcW w:w="2689" w:type="dxa"/>
          </w:tcPr>
          <w:p w:rsidR="00841F8D" w:rsidRPr="00B2496F" w:rsidRDefault="00841F8D" w:rsidP="00841F8D">
            <w:pPr>
              <w:pStyle w:val="Geenafstand"/>
              <w:spacing w:line="360" w:lineRule="auto"/>
              <w:jc w:val="both"/>
              <w:rPr>
                <w:rFonts w:ascii="Arial" w:hAnsi="Arial" w:cs="Arial"/>
                <w:sz w:val="18"/>
              </w:rPr>
            </w:pPr>
            <w:r w:rsidRPr="00B2496F">
              <w:rPr>
                <w:rFonts w:ascii="Arial" w:hAnsi="Arial" w:cs="Arial"/>
                <w:sz w:val="18"/>
              </w:rPr>
              <w:t>3. Use the age-, sex-, and region-specific rescaling factors from Supplementary Methods Table 1 to calculate the recalibrated 10-year risk for your individual patient (θ)</w:t>
            </w:r>
          </w:p>
        </w:tc>
        <w:tc>
          <w:tcPr>
            <w:tcW w:w="6661" w:type="dxa"/>
          </w:tcPr>
          <w:p w:rsidR="00841F8D" w:rsidRPr="00B2496F" w:rsidRDefault="00841F8D" w:rsidP="005A7088">
            <w:pPr>
              <w:pStyle w:val="Geenafstand"/>
              <w:spacing w:line="360" w:lineRule="auto"/>
              <w:jc w:val="both"/>
              <w:rPr>
                <w:rFonts w:ascii="Arial" w:hAnsi="Arial" w:cs="Arial"/>
                <w:b/>
                <w:sz w:val="18"/>
              </w:rPr>
            </w:pPr>
            <w:r w:rsidRPr="00B2496F">
              <w:rPr>
                <w:rFonts w:ascii="Arial" w:hAnsi="Arial" w:cs="Arial"/>
                <w:b/>
                <w:sz w:val="18"/>
              </w:rPr>
              <w:t>θ = 1 – exp(-exp(</w:t>
            </w:r>
            <w:r w:rsidRPr="00B2496F">
              <w:rPr>
                <w:rFonts w:ascii="Arial" w:hAnsi="Arial" w:cs="Arial"/>
                <w:b/>
                <w:i/>
                <w:sz w:val="18"/>
              </w:rPr>
              <w:t>Scale1</w:t>
            </w:r>
            <w:r w:rsidRPr="00B2496F">
              <w:rPr>
                <w:rFonts w:ascii="Arial" w:hAnsi="Arial" w:cs="Arial"/>
                <w:b/>
                <w:sz w:val="18"/>
                <w:vertAlign w:val="subscript"/>
              </w:rPr>
              <w:t xml:space="preserve"> </w:t>
            </w:r>
            <w:r w:rsidRPr="00B2496F">
              <w:rPr>
                <w:rFonts w:ascii="Arial" w:hAnsi="Arial" w:cs="Arial"/>
                <w:b/>
                <w:sz w:val="18"/>
              </w:rPr>
              <w:t xml:space="preserve">+ </w:t>
            </w:r>
            <w:r w:rsidRPr="00B2496F">
              <w:rPr>
                <w:rFonts w:ascii="Arial" w:hAnsi="Arial" w:cs="Arial"/>
                <w:b/>
                <w:i/>
                <w:sz w:val="18"/>
              </w:rPr>
              <w:t>Scale2</w:t>
            </w:r>
            <w:r w:rsidRPr="00B2496F">
              <w:rPr>
                <w:rFonts w:ascii="Arial" w:hAnsi="Arial" w:cs="Arial"/>
                <w:b/>
                <w:sz w:val="18"/>
              </w:rPr>
              <w:t xml:space="preserve"> x ln(-ln(1- θ</w:t>
            </w:r>
            <w:r w:rsidRPr="00B2496F">
              <w:rPr>
                <w:rFonts w:ascii="Arial" w:hAnsi="Arial" w:cs="Arial"/>
                <w:b/>
                <w:sz w:val="18"/>
                <w:vertAlign w:val="subscript"/>
              </w:rPr>
              <w:t xml:space="preserve"> original</w:t>
            </w:r>
            <w:r w:rsidRPr="00B2496F">
              <w:rPr>
                <w:rFonts w:ascii="Arial" w:hAnsi="Arial" w:cs="Arial"/>
                <w:b/>
                <w:sz w:val="18"/>
              </w:rPr>
              <w:t>))))</w:t>
            </w:r>
          </w:p>
          <w:p w:rsidR="00841F8D" w:rsidRPr="00B2496F" w:rsidRDefault="00841F8D" w:rsidP="005A7088">
            <w:pPr>
              <w:pStyle w:val="Geenafstand"/>
              <w:spacing w:line="360" w:lineRule="auto"/>
              <w:jc w:val="both"/>
              <w:rPr>
                <w:rFonts w:ascii="Arial" w:hAnsi="Arial" w:cs="Arial"/>
                <w:sz w:val="18"/>
              </w:rPr>
            </w:pP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Multiply by 100 to get your individual 10-year risk as a percentage.</w:t>
            </w:r>
          </w:p>
        </w:tc>
      </w:tr>
      <w:tr w:rsidR="00841F8D" w:rsidRPr="00B2496F" w:rsidTr="005A7088">
        <w:tc>
          <w:tcPr>
            <w:tcW w:w="9350" w:type="dxa"/>
            <w:gridSpan w:val="2"/>
          </w:tcPr>
          <w:p w:rsidR="00841F8D" w:rsidRPr="00B2496F" w:rsidRDefault="00841F8D" w:rsidP="005A7088">
            <w:pPr>
              <w:pStyle w:val="Geenafstand"/>
              <w:spacing w:line="360" w:lineRule="auto"/>
              <w:jc w:val="both"/>
              <w:rPr>
                <w:rFonts w:ascii="Arial" w:hAnsi="Arial" w:cs="Arial"/>
                <w:b/>
                <w:sz w:val="18"/>
              </w:rPr>
            </w:pPr>
            <w:r w:rsidRPr="00B2496F">
              <w:rPr>
                <w:rFonts w:ascii="Arial" w:hAnsi="Arial" w:cs="Arial"/>
                <w:b/>
                <w:sz w:val="18"/>
              </w:rPr>
              <w:t xml:space="preserve">Calculate 10-year risk of CVD events incl. heart failure </w:t>
            </w:r>
          </w:p>
        </w:tc>
      </w:tr>
      <w:tr w:rsidR="00841F8D" w:rsidRPr="00B2496F" w:rsidTr="005A7088">
        <w:tc>
          <w:tcPr>
            <w:tcW w:w="2689" w:type="dxa"/>
          </w:tcPr>
          <w:p w:rsidR="00841F8D" w:rsidRPr="00B2496F" w:rsidRDefault="00841F8D" w:rsidP="00841F8D">
            <w:pPr>
              <w:pStyle w:val="Geenafstand"/>
              <w:spacing w:line="360" w:lineRule="auto"/>
              <w:jc w:val="both"/>
              <w:rPr>
                <w:rFonts w:ascii="Arial" w:hAnsi="Arial" w:cs="Arial"/>
                <w:sz w:val="18"/>
              </w:rPr>
            </w:pPr>
            <w:r w:rsidRPr="00B2496F">
              <w:rPr>
                <w:rFonts w:ascii="Arial" w:hAnsi="Arial" w:cs="Arial"/>
                <w:sz w:val="18"/>
              </w:rPr>
              <w:t>Include the multiplication factor from Supplementary Table 4 in step 2, the rest of the procedure is identical</w:t>
            </w:r>
          </w:p>
        </w:tc>
        <w:tc>
          <w:tcPr>
            <w:tcW w:w="6661" w:type="dxa"/>
          </w:tcPr>
          <w:p w:rsidR="00841F8D" w:rsidRPr="00B2496F" w:rsidRDefault="00841F8D" w:rsidP="005A7088">
            <w:pPr>
              <w:pStyle w:val="Geenafstand"/>
              <w:spacing w:line="360" w:lineRule="auto"/>
              <w:jc w:val="both"/>
              <w:rPr>
                <w:rFonts w:ascii="Arial" w:hAnsi="Arial" w:cs="Arial"/>
                <w:b/>
                <w:sz w:val="17"/>
                <w:szCs w:val="17"/>
              </w:rPr>
            </w:pPr>
            <w:r w:rsidRPr="00B2496F">
              <w:rPr>
                <w:rFonts w:ascii="Arial" w:hAnsi="Arial" w:cs="Arial"/>
                <w:sz w:val="17"/>
                <w:szCs w:val="17"/>
              </w:rPr>
              <w:t>θ</w:t>
            </w:r>
            <w:r w:rsidRPr="00B2496F">
              <w:rPr>
                <w:rFonts w:ascii="Arial" w:hAnsi="Arial" w:cs="Arial"/>
                <w:b/>
                <w:sz w:val="17"/>
                <w:szCs w:val="17"/>
                <w:vertAlign w:val="subscript"/>
              </w:rPr>
              <w:t xml:space="preserve"> original</w:t>
            </w:r>
            <w:r w:rsidRPr="00B2496F">
              <w:rPr>
                <w:rFonts w:ascii="Arial" w:hAnsi="Arial" w:cs="Arial"/>
                <w:b/>
                <w:sz w:val="17"/>
                <w:szCs w:val="17"/>
              </w:rPr>
              <w:t xml:space="preserve"> = 1 – basesurv</w:t>
            </w:r>
            <w:r w:rsidRPr="00B2496F">
              <w:rPr>
                <w:rFonts w:ascii="Arial" w:hAnsi="Arial" w:cs="Arial"/>
                <w:b/>
                <w:sz w:val="17"/>
                <w:szCs w:val="17"/>
                <w:vertAlign w:val="subscript"/>
              </w:rPr>
              <w:t>sex-specific</w:t>
            </w:r>
            <w:r w:rsidRPr="00B2496F">
              <w:rPr>
                <w:rFonts w:ascii="Arial" w:hAnsi="Arial" w:cs="Arial"/>
                <w:b/>
                <w:sz w:val="17"/>
                <w:szCs w:val="17"/>
              </w:rPr>
              <w:t>^exp(LP – meanLP</w:t>
            </w:r>
            <w:r w:rsidRPr="00B2496F">
              <w:rPr>
                <w:rFonts w:ascii="Arial" w:hAnsi="Arial" w:cs="Arial"/>
                <w:b/>
                <w:sz w:val="17"/>
                <w:szCs w:val="17"/>
                <w:vertAlign w:val="subscript"/>
              </w:rPr>
              <w:t xml:space="preserve">sex-specific </w:t>
            </w:r>
            <w:r w:rsidRPr="00B2496F">
              <w:rPr>
                <w:rFonts w:ascii="Arial" w:hAnsi="Arial" w:cs="Arial"/>
                <w:b/>
                <w:sz w:val="17"/>
                <w:szCs w:val="17"/>
              </w:rPr>
              <w:t>- ln(multiplier</w:t>
            </w:r>
            <w:r w:rsidRPr="00B2496F">
              <w:rPr>
                <w:rFonts w:ascii="Arial" w:hAnsi="Arial" w:cs="Arial"/>
                <w:b/>
                <w:sz w:val="17"/>
                <w:szCs w:val="17"/>
                <w:vertAlign w:val="subscript"/>
              </w:rPr>
              <w:t>age,sex</w:t>
            </w:r>
            <w:r w:rsidRPr="00B2496F">
              <w:rPr>
                <w:rFonts w:ascii="Arial" w:hAnsi="Arial" w:cs="Arial"/>
                <w:b/>
                <w:sz w:val="17"/>
                <w:szCs w:val="17"/>
              </w:rPr>
              <w:t>))</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Where:</w:t>
            </w:r>
          </w:p>
          <w:p w:rsidR="00841F8D" w:rsidRPr="00B2496F" w:rsidRDefault="00841F8D" w:rsidP="005A7088">
            <w:pPr>
              <w:pStyle w:val="Geenafstand"/>
              <w:spacing w:line="360" w:lineRule="auto"/>
              <w:jc w:val="both"/>
              <w:rPr>
                <w:rFonts w:ascii="Arial" w:hAnsi="Arial" w:cs="Arial"/>
                <w:sz w:val="18"/>
              </w:rPr>
            </w:pPr>
            <w:r w:rsidRPr="00B2496F">
              <w:rPr>
                <w:rFonts w:ascii="Arial" w:hAnsi="Arial" w:cs="Arial"/>
                <w:sz w:val="18"/>
              </w:rPr>
              <w:t>Multiplier</w:t>
            </w:r>
            <w:r w:rsidRPr="00B2496F">
              <w:rPr>
                <w:rFonts w:ascii="Arial" w:hAnsi="Arial" w:cs="Arial"/>
                <w:sz w:val="18"/>
                <w:vertAlign w:val="subscript"/>
              </w:rPr>
              <w:t>age,sex</w:t>
            </w:r>
            <w:r w:rsidRPr="00B2496F">
              <w:rPr>
                <w:rFonts w:ascii="Arial" w:hAnsi="Arial" w:cs="Arial"/>
                <w:sz w:val="18"/>
              </w:rPr>
              <w:t xml:space="preserve"> is the age- and sex-specific multiplier</w:t>
            </w:r>
          </w:p>
        </w:tc>
      </w:tr>
    </w:tbl>
    <w:p w:rsidR="00841F8D" w:rsidRPr="00B2496F" w:rsidRDefault="00841F8D" w:rsidP="00841F8D">
      <w:pPr>
        <w:pStyle w:val="Geenafstand"/>
        <w:spacing w:line="480" w:lineRule="auto"/>
        <w:jc w:val="both"/>
        <w:rPr>
          <w:rFonts w:ascii="Arial" w:hAnsi="Arial" w:cs="Arial"/>
          <w:sz w:val="20"/>
          <w:lang w:val="en-US"/>
        </w:rPr>
      </w:pPr>
    </w:p>
    <w:p w:rsidR="00841F8D" w:rsidRPr="00B2496F" w:rsidRDefault="00841F8D" w:rsidP="00841F8D">
      <w:pPr>
        <w:spacing w:after="160" w:line="259" w:lineRule="auto"/>
        <w:rPr>
          <w:rFonts w:ascii="Arial" w:hAnsi="Arial" w:cs="Arial"/>
          <w:sz w:val="20"/>
        </w:rPr>
      </w:pPr>
      <w:r w:rsidRPr="00B2496F">
        <w:rPr>
          <w:rFonts w:ascii="Arial" w:hAnsi="Arial" w:cs="Arial"/>
          <w:sz w:val="20"/>
        </w:rPr>
        <w:br w:type="page"/>
      </w:r>
    </w:p>
    <w:p w:rsidR="00841F8D" w:rsidRPr="00B2496F" w:rsidRDefault="00841F8D" w:rsidP="00841F8D">
      <w:pPr>
        <w:pStyle w:val="aParagraafkop"/>
      </w:pPr>
      <w:r w:rsidRPr="00B2496F">
        <w:lastRenderedPageBreak/>
        <w:t xml:space="preserve">Supplementary Methods Table 3: </w:t>
      </w:r>
      <w:r w:rsidRPr="00B2496F">
        <w:rPr>
          <w:b w:val="0"/>
        </w:rPr>
        <w:t>Example calculations for the estimated CVD event risk for an individual patient using SCORE2-OP</w:t>
      </w:r>
    </w:p>
    <w:tbl>
      <w:tblPr>
        <w:tblStyle w:val="Tabelraster1"/>
        <w:tblW w:w="10654" w:type="dxa"/>
        <w:tblInd w:w="-657" w:type="dxa"/>
        <w:tblLayout w:type="fixed"/>
        <w:tblLook w:val="04A0" w:firstRow="1" w:lastRow="0" w:firstColumn="1" w:lastColumn="0" w:noHBand="0" w:noVBand="1"/>
      </w:tblPr>
      <w:tblGrid>
        <w:gridCol w:w="1855"/>
        <w:gridCol w:w="2908"/>
        <w:gridCol w:w="1418"/>
        <w:gridCol w:w="4473"/>
      </w:tblGrid>
      <w:tr w:rsidR="00841F8D" w:rsidRPr="00B2496F" w:rsidTr="005A7088">
        <w:trPr>
          <w:trHeight w:val="230"/>
        </w:trPr>
        <w:tc>
          <w:tcPr>
            <w:tcW w:w="10654" w:type="dxa"/>
            <w:gridSpan w:val="4"/>
            <w:shd w:val="clear" w:color="auto" w:fill="auto"/>
          </w:tcPr>
          <w:p w:rsidR="00841F8D" w:rsidRPr="00B2496F" w:rsidRDefault="00841F8D" w:rsidP="005A7088">
            <w:pPr>
              <w:spacing w:after="0"/>
              <w:jc w:val="center"/>
              <w:rPr>
                <w:rFonts w:ascii="Arial" w:hAnsi="Arial" w:cs="Arial"/>
                <w:b/>
                <w:sz w:val="18"/>
                <w:szCs w:val="16"/>
              </w:rPr>
            </w:pPr>
            <w:r w:rsidRPr="00B2496F">
              <w:rPr>
                <w:rFonts w:ascii="Arial" w:hAnsi="Arial" w:cs="Arial"/>
                <w:b/>
                <w:sz w:val="18"/>
                <w:szCs w:val="16"/>
              </w:rPr>
              <w:t>Calculation of estimated 10-year CVD event risk using SCORE2-OP</w:t>
            </w:r>
          </w:p>
        </w:tc>
      </w:tr>
      <w:tr w:rsidR="00841F8D" w:rsidRPr="00B2496F" w:rsidTr="005A7088">
        <w:trPr>
          <w:trHeight w:val="244"/>
        </w:trPr>
        <w:tc>
          <w:tcPr>
            <w:tcW w:w="1855" w:type="dxa"/>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Individual risk factor levels</w:t>
            </w:r>
          </w:p>
        </w:tc>
        <w:tc>
          <w:tcPr>
            <w:tcW w:w="4326" w:type="dxa"/>
            <w:gridSpan w:val="2"/>
            <w:tcBorders>
              <w:bottom w:val="single" w:sz="4" w:space="0" w:color="auto"/>
            </w:tcBorders>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Model coefficients (women)</w:t>
            </w:r>
          </w:p>
        </w:tc>
        <w:tc>
          <w:tcPr>
            <w:tcW w:w="4473" w:type="dxa"/>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Calculation of 10-year CVD event risk using SCORE2-OP</w:t>
            </w:r>
          </w:p>
        </w:tc>
      </w:tr>
      <w:tr w:rsidR="00841F8D" w:rsidRPr="00B2496F" w:rsidTr="005A7088">
        <w:trPr>
          <w:trHeight w:val="280"/>
        </w:trPr>
        <w:tc>
          <w:tcPr>
            <w:tcW w:w="1855" w:type="dxa"/>
            <w:vMerge w:val="restart"/>
            <w:shd w:val="clear" w:color="auto" w:fill="auto"/>
          </w:tcPr>
          <w:p w:rsidR="00841F8D" w:rsidRPr="00B2496F" w:rsidRDefault="00841F8D" w:rsidP="005A7088">
            <w:pPr>
              <w:spacing w:after="0"/>
              <w:rPr>
                <w:rFonts w:ascii="Arial" w:hAnsi="Arial" w:cs="Arial"/>
                <w:sz w:val="16"/>
                <w:szCs w:val="16"/>
              </w:rPr>
            </w:pPr>
            <w:r w:rsidRPr="00B2496F">
              <w:rPr>
                <w:rFonts w:ascii="Arial" w:hAnsi="Arial" w:cs="Arial"/>
                <w:sz w:val="16"/>
                <w:szCs w:val="16"/>
              </w:rPr>
              <w:t>Sex = female</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Age = 75</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Total cholesterol = 5.5</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HDL cholesterol =1.3</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SBP = 140mmHg</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Diabetes = No</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Smoking = Yes</w:t>
            </w:r>
          </w:p>
          <w:p w:rsidR="00841F8D" w:rsidRPr="00B2496F" w:rsidRDefault="00841F8D" w:rsidP="005A7088">
            <w:pPr>
              <w:spacing w:after="0"/>
              <w:rPr>
                <w:rFonts w:ascii="Arial" w:hAnsi="Arial" w:cs="Arial"/>
                <w:sz w:val="16"/>
                <w:szCs w:val="16"/>
              </w:rPr>
            </w:pPr>
          </w:p>
          <w:p w:rsidR="00841F8D" w:rsidRPr="00B2496F" w:rsidRDefault="00841F8D" w:rsidP="005A7088">
            <w:pPr>
              <w:spacing w:after="0"/>
              <w:rPr>
                <w:rFonts w:ascii="Arial" w:hAnsi="Arial" w:cs="Arial"/>
                <w:sz w:val="16"/>
                <w:szCs w:val="16"/>
              </w:rPr>
            </w:pPr>
          </w:p>
        </w:tc>
        <w:tc>
          <w:tcPr>
            <w:tcW w:w="2908" w:type="dxa"/>
            <w:tcBorders>
              <w:top w:val="single" w:sz="4" w:space="0" w:color="auto"/>
              <w:left w:val="nil"/>
              <w:bottom w:val="single" w:sz="4" w:space="0" w:color="auto"/>
              <w:right w:val="single" w:sz="4" w:space="0" w:color="auto"/>
            </w:tcBorders>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Age (per year)</w:t>
            </w:r>
          </w:p>
        </w:tc>
        <w:tc>
          <w:tcPr>
            <w:tcW w:w="1418" w:type="dxa"/>
            <w:tcBorders>
              <w:top w:val="single" w:sz="4" w:space="0" w:color="auto"/>
              <w:left w:val="single" w:sz="4" w:space="0" w:color="auto"/>
              <w:bottom w:val="single" w:sz="4" w:space="0" w:color="auto"/>
              <w:right w:val="nil"/>
            </w:tcBorders>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0.0789</w:t>
            </w:r>
          </w:p>
        </w:tc>
        <w:tc>
          <w:tcPr>
            <w:tcW w:w="4473" w:type="dxa"/>
            <w:vMerge w:val="restart"/>
            <w:shd w:val="clear" w:color="auto" w:fill="auto"/>
          </w:tcPr>
          <w:p w:rsidR="00841F8D" w:rsidRPr="00B2496F" w:rsidRDefault="00795EEF" w:rsidP="005A7088">
            <w:pPr>
              <w:spacing w:after="0"/>
              <w:rPr>
                <w:rFonts w:ascii="Arial" w:eastAsiaTheme="minorEastAsia" w:hAnsi="Arial" w:cs="Arial"/>
                <w:sz w:val="16"/>
                <w:szCs w:val="16"/>
              </w:rPr>
            </w:pPr>
            <m:oMath>
              <m:nary>
                <m:naryPr>
                  <m:chr m:val="∑"/>
                  <m:limLoc m:val="undOvr"/>
                  <m:subHide m:val="1"/>
                  <m:supHide m:val="1"/>
                  <m:ctrlPr>
                    <w:rPr>
                      <w:rFonts w:ascii="Cambria Math" w:hAnsi="Cambria Math" w:cs="Arial"/>
                      <w:i/>
                      <w:sz w:val="16"/>
                      <w:szCs w:val="16"/>
                    </w:rPr>
                  </m:ctrlPr>
                </m:naryPr>
                <m:sub/>
                <m:sup/>
                <m:e>
                  <m:r>
                    <w:rPr>
                      <w:rFonts w:ascii="Cambria Math" w:hAnsi="Cambria Math" w:cs="Arial"/>
                      <w:sz w:val="16"/>
                      <w:szCs w:val="16"/>
                    </w:rPr>
                    <m:t>β(x-</m:t>
                  </m:r>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cen</m:t>
                      </m:r>
                    </m:sub>
                  </m:sSub>
                  <m:r>
                    <w:rPr>
                      <w:rFonts w:ascii="Cambria Math" w:hAnsi="Cambria Math" w:cs="Arial"/>
                      <w:sz w:val="16"/>
                      <w:szCs w:val="16"/>
                    </w:rPr>
                    <m:t>)</m:t>
                  </m:r>
                </m:e>
              </m:nary>
            </m:oMath>
            <w:r w:rsidR="00841F8D" w:rsidRPr="00B2496F">
              <w:rPr>
                <w:rFonts w:ascii="Arial" w:eastAsiaTheme="minorEastAsia" w:hAnsi="Arial" w:cs="Arial"/>
                <w:sz w:val="16"/>
                <w:szCs w:val="16"/>
              </w:rPr>
              <w:t xml:space="preserve"> = </w:t>
            </w:r>
            <w:r w:rsidR="00841F8D" w:rsidRPr="00B2496F">
              <w:rPr>
                <w:rFonts w:ascii="Arial" w:hAnsi="Arial" w:cs="Arial"/>
                <w:sz w:val="16"/>
                <w:szCs w:val="16"/>
              </w:rPr>
              <w:t xml:space="preserve">0.0789 </w:t>
            </w:r>
            <w:r w:rsidR="00841F8D" w:rsidRPr="00B2496F">
              <w:rPr>
                <w:rFonts w:ascii="Arial" w:eastAsiaTheme="minorEastAsia" w:hAnsi="Arial" w:cs="Arial"/>
                <w:sz w:val="16"/>
                <w:szCs w:val="16"/>
              </w:rPr>
              <w:t>x (75-73)</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+ 0.6010 x 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+ 0.4921 x 1</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+ 0.0102 x (140-150)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+ 0.0605 x (5.5-6)</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- 0.3040 x (1.3-1.4)</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- 0.0107 x (75-73) x 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- 0.0255 x (75-73) x 1</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- 0.0004 x (75-73) x (140-150)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- 0.0009 x (75-73) x (5.5-6)</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+ 0.0154 x (75-73) x (1.3-1.4)</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-0.5029</w:t>
            </w:r>
          </w:p>
          <w:p w:rsidR="00841F8D" w:rsidRPr="00B2496F" w:rsidRDefault="00841F8D" w:rsidP="005A7088">
            <w:pPr>
              <w:spacing w:after="0"/>
              <w:rPr>
                <w:rFonts w:ascii="Arial" w:hAnsi="Arial" w:cs="Arial"/>
                <w:sz w:val="16"/>
                <w:szCs w:val="16"/>
              </w:rPr>
            </w:pPr>
          </w:p>
          <w:p w:rsidR="00841F8D" w:rsidRPr="00B2496F" w:rsidRDefault="00841F8D" w:rsidP="005A7088">
            <w:pPr>
              <w:spacing w:after="0"/>
              <w:rPr>
                <w:rFonts w:ascii="Arial" w:hAnsi="Arial" w:cs="Arial"/>
                <w:sz w:val="16"/>
                <w:szCs w:val="16"/>
              </w:rPr>
            </w:pPr>
            <w:r w:rsidRPr="00B2496F">
              <w:rPr>
                <w:rFonts w:ascii="Arial" w:hAnsi="Arial" w:cs="Arial"/>
                <w:sz w:val="16"/>
                <w:szCs w:val="16"/>
              </w:rPr>
              <w:t>Unrecalibrated (original) risk:</w:t>
            </w:r>
          </w:p>
          <w:p w:rsidR="00841F8D" w:rsidRPr="00B2496F" w:rsidRDefault="00841F8D" w:rsidP="005A7088">
            <w:pPr>
              <w:spacing w:after="0"/>
              <w:rPr>
                <w:rFonts w:ascii="Arial" w:eastAsia="Calibri" w:hAnsi="Arial" w:cs="Arial"/>
                <w:sz w:val="16"/>
                <w:szCs w:val="16"/>
              </w:rPr>
            </w:pPr>
            <w:r w:rsidRPr="00B2496F">
              <w:rPr>
                <w:rFonts w:ascii="Arial" w:hAnsi="Arial" w:cs="Arial"/>
                <w:sz w:val="16"/>
                <w:szCs w:val="16"/>
              </w:rPr>
              <w:t>10-yr risk = 1-</w:t>
            </w:r>
            <w:r w:rsidRPr="00B2496F">
              <w:rPr>
                <w:rFonts w:ascii="Arial" w:eastAsia="Calibri" w:hAnsi="Arial" w:cs="Arial"/>
                <w:color w:val="000000"/>
                <w:sz w:val="16"/>
                <w:szCs w:val="16"/>
              </w:rPr>
              <w:t>0.8082^exp(</w:t>
            </w:r>
            <m:oMath>
              <m:nary>
                <m:naryPr>
                  <m:chr m:val="∑"/>
                  <m:limLoc m:val="undOvr"/>
                  <m:subHide m:val="1"/>
                  <m:supHide m:val="1"/>
                  <m:ctrlPr>
                    <w:rPr>
                      <w:rFonts w:ascii="Cambria Math" w:hAnsi="Cambria Math" w:cs="Arial"/>
                      <w:i/>
                      <w:sz w:val="16"/>
                      <w:szCs w:val="16"/>
                    </w:rPr>
                  </m:ctrlPr>
                </m:naryPr>
                <m:sub/>
                <m:sup/>
                <m:e>
                  <m:r>
                    <w:rPr>
                      <w:rFonts w:ascii="Cambria Math" w:hAnsi="Cambria Math" w:cs="Arial"/>
                      <w:sz w:val="16"/>
                      <w:szCs w:val="16"/>
                    </w:rPr>
                    <m:t>β</m:t>
                  </m:r>
                </m:e>
              </m:nary>
              <m:d>
                <m:dPr>
                  <m:ctrlPr>
                    <w:rPr>
                      <w:rFonts w:ascii="Cambria Math" w:hAnsi="Cambria Math" w:cs="Arial"/>
                      <w:i/>
                      <w:sz w:val="16"/>
                      <w:szCs w:val="16"/>
                    </w:rPr>
                  </m:ctrlPr>
                </m:dPr>
                <m:e>
                  <m:r>
                    <w:rPr>
                      <w:rFonts w:ascii="Cambria Math" w:hAnsi="Cambria Math" w:cs="Arial"/>
                      <w:sz w:val="16"/>
                      <w:szCs w:val="16"/>
                    </w:rPr>
                    <m:t>x-</m:t>
                  </m:r>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cen</m:t>
                      </m:r>
                    </m:sub>
                  </m:sSub>
                </m:e>
              </m:d>
              <m:r>
                <w:rPr>
                  <w:rFonts w:ascii="Cambria Math" w:hAnsi="Cambria Math" w:cs="Arial"/>
                  <w:sz w:val="16"/>
                  <w:szCs w:val="16"/>
                </w:rPr>
                <m:t>-0.229)</m:t>
              </m:r>
            </m:oMath>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1-0.8082^exp(0.5029 – 0.229)</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0.2442 = 24.4%</w:t>
            </w:r>
          </w:p>
          <w:p w:rsidR="00841F8D" w:rsidRPr="00B2496F" w:rsidRDefault="00841F8D" w:rsidP="005A7088">
            <w:pPr>
              <w:spacing w:after="0"/>
              <w:rPr>
                <w:rFonts w:ascii="Arial" w:eastAsia="Calibri" w:hAnsi="Arial" w:cs="Arial"/>
                <w:sz w:val="16"/>
                <w:szCs w:val="16"/>
              </w:rPr>
            </w:pP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Recalibrate to low risk region:          </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10-yr risk = 1-exp(-exp(-0.85+0.82 x ln(-ln(1- original risk))))</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1-exp(-exp(-0.85+0.82 x ln(-ln(1- 0.2442)))) </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0.1397 = 14%      </w:t>
            </w: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tcBorders>
              <w:top w:val="single" w:sz="4" w:space="0" w:color="auto"/>
            </w:tcBorders>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Diabetes</w:t>
            </w:r>
          </w:p>
        </w:tc>
        <w:tc>
          <w:tcPr>
            <w:tcW w:w="1418" w:type="dxa"/>
            <w:tcBorders>
              <w:top w:val="single" w:sz="4" w:space="0" w:color="auto"/>
            </w:tcBorders>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0.6010</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Smoking</w:t>
            </w:r>
          </w:p>
        </w:tc>
        <w:tc>
          <w:tcPr>
            <w:tcW w:w="1418" w:type="dxa"/>
            <w:shd w:val="clear" w:color="auto" w:fill="auto"/>
          </w:tcPr>
          <w:p w:rsidR="00841F8D" w:rsidRPr="00B2496F" w:rsidRDefault="00841F8D" w:rsidP="005A7088">
            <w:pPr>
              <w:spacing w:after="0"/>
              <w:jc w:val="center"/>
              <w:rPr>
                <w:rFonts w:ascii="Arial" w:hAnsi="Arial" w:cs="Arial"/>
                <w:sz w:val="16"/>
                <w:szCs w:val="16"/>
              </w:rPr>
            </w:pPr>
            <w:r w:rsidRPr="00B2496F">
              <w:rPr>
                <w:rFonts w:ascii="Arial" w:hAnsi="Arial" w:cs="Arial"/>
                <w:sz w:val="16"/>
                <w:szCs w:val="16"/>
              </w:rPr>
              <w:t>0.4921</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SBP (per mmHg)</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0.0102</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Total cholesterol (per mmol/L)</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0.0605</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HDL cholesterol (per mmol/L)</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-0.3040</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Diabetes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-0.0107</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vertAlign w:val="superscript"/>
              </w:rPr>
            </w:pPr>
            <w:r w:rsidRPr="00B2496F">
              <w:rPr>
                <w:rFonts w:ascii="Arial" w:eastAsia="Times New Roman" w:hAnsi="Arial" w:cs="Arial"/>
                <w:sz w:val="16"/>
                <w:szCs w:val="16"/>
                <w:lang w:eastAsia="en-GB"/>
              </w:rPr>
              <w:t>Smoking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-0.0255</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SBP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-0.0004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Total cholesterol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-0.0009</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56"/>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line="360" w:lineRule="auto"/>
              <w:rPr>
                <w:rFonts w:ascii="Arial" w:eastAsia="Calibri" w:hAnsi="Arial" w:cs="Arial"/>
                <w:sz w:val="16"/>
                <w:szCs w:val="16"/>
              </w:rPr>
            </w:pPr>
            <w:r w:rsidRPr="00B2496F">
              <w:rPr>
                <w:rFonts w:ascii="Arial" w:eastAsia="Calibri" w:hAnsi="Arial" w:cs="Arial"/>
                <w:sz w:val="16"/>
                <w:szCs w:val="16"/>
              </w:rPr>
              <w:t>HDL cholesterol interaction with age</w:t>
            </w:r>
          </w:p>
        </w:tc>
        <w:tc>
          <w:tcPr>
            <w:tcW w:w="1418" w:type="dxa"/>
            <w:shd w:val="clear" w:color="auto" w:fill="auto"/>
          </w:tcPr>
          <w:p w:rsidR="00841F8D" w:rsidRPr="00B2496F" w:rsidRDefault="00841F8D" w:rsidP="005A7088">
            <w:pPr>
              <w:spacing w:after="0" w:line="360" w:lineRule="auto"/>
              <w:jc w:val="center"/>
              <w:rPr>
                <w:rFonts w:ascii="Arial" w:hAnsi="Arial" w:cs="Arial"/>
                <w:color w:val="000000"/>
                <w:sz w:val="16"/>
                <w:szCs w:val="16"/>
              </w:rPr>
            </w:pPr>
            <w:r w:rsidRPr="00B2496F">
              <w:rPr>
                <w:rFonts w:ascii="Arial" w:hAnsi="Arial" w:cs="Arial"/>
                <w:sz w:val="16"/>
                <w:szCs w:val="16"/>
              </w:rPr>
              <w:t>0.0154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622"/>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4326" w:type="dxa"/>
            <w:gridSpan w:val="2"/>
            <w:shd w:val="clear" w:color="auto" w:fill="auto"/>
          </w:tcPr>
          <w:p w:rsidR="00841F8D" w:rsidRPr="00B2496F" w:rsidRDefault="00841F8D" w:rsidP="005A7088">
            <w:pPr>
              <w:spacing w:after="0"/>
              <w:jc w:val="center"/>
              <w:rPr>
                <w:rFonts w:ascii="Arial" w:hAnsi="Arial" w:cs="Arial"/>
                <w:sz w:val="16"/>
                <w:szCs w:val="16"/>
              </w:rPr>
            </w:pP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44"/>
        </w:trPr>
        <w:tc>
          <w:tcPr>
            <w:tcW w:w="1855" w:type="dxa"/>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Individual risk factor levels</w:t>
            </w:r>
          </w:p>
        </w:tc>
        <w:tc>
          <w:tcPr>
            <w:tcW w:w="4326" w:type="dxa"/>
            <w:gridSpan w:val="2"/>
            <w:tcBorders>
              <w:bottom w:val="single" w:sz="4" w:space="0" w:color="auto"/>
            </w:tcBorders>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Model coefficients (men)</w:t>
            </w:r>
          </w:p>
        </w:tc>
        <w:tc>
          <w:tcPr>
            <w:tcW w:w="4473" w:type="dxa"/>
            <w:shd w:val="clear" w:color="auto" w:fill="auto"/>
          </w:tcPr>
          <w:p w:rsidR="00841F8D" w:rsidRPr="00B2496F" w:rsidRDefault="00841F8D" w:rsidP="005A7088">
            <w:pPr>
              <w:spacing w:after="0"/>
              <w:rPr>
                <w:rFonts w:ascii="Arial" w:hAnsi="Arial" w:cs="Arial"/>
                <w:b/>
                <w:sz w:val="18"/>
                <w:szCs w:val="16"/>
              </w:rPr>
            </w:pPr>
            <w:r w:rsidRPr="00B2496F">
              <w:rPr>
                <w:rFonts w:ascii="Arial" w:hAnsi="Arial" w:cs="Arial"/>
                <w:b/>
                <w:sz w:val="18"/>
                <w:szCs w:val="16"/>
              </w:rPr>
              <w:t>Calculation of 10-year CVD event risk using SCORE2-OP</w:t>
            </w:r>
          </w:p>
        </w:tc>
      </w:tr>
      <w:tr w:rsidR="00841F8D" w:rsidRPr="00B2496F" w:rsidTr="005A7088">
        <w:trPr>
          <w:trHeight w:val="280"/>
        </w:trPr>
        <w:tc>
          <w:tcPr>
            <w:tcW w:w="1855" w:type="dxa"/>
            <w:vMerge w:val="restart"/>
            <w:shd w:val="clear" w:color="auto" w:fill="auto"/>
          </w:tcPr>
          <w:p w:rsidR="00841F8D" w:rsidRPr="00B2496F" w:rsidRDefault="00841F8D" w:rsidP="005A7088">
            <w:pPr>
              <w:spacing w:after="0"/>
              <w:rPr>
                <w:rFonts w:ascii="Arial" w:hAnsi="Arial" w:cs="Arial"/>
                <w:sz w:val="16"/>
                <w:szCs w:val="16"/>
              </w:rPr>
            </w:pPr>
            <w:r w:rsidRPr="00B2496F">
              <w:rPr>
                <w:rFonts w:ascii="Arial" w:hAnsi="Arial" w:cs="Arial"/>
                <w:sz w:val="16"/>
                <w:szCs w:val="16"/>
              </w:rPr>
              <w:t>Sex = male</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Age = 75</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Total cholesterol = 5.5</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HDL cholesterol =1.3</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SBP = 140mmHg</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Diabetes = No</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Smoking = Yes</w:t>
            </w:r>
          </w:p>
          <w:p w:rsidR="00841F8D" w:rsidRPr="00B2496F" w:rsidRDefault="00841F8D" w:rsidP="005A7088">
            <w:pPr>
              <w:spacing w:after="0"/>
              <w:rPr>
                <w:rFonts w:ascii="Arial" w:hAnsi="Arial" w:cs="Arial"/>
                <w:sz w:val="16"/>
                <w:szCs w:val="16"/>
              </w:rPr>
            </w:pPr>
          </w:p>
          <w:p w:rsidR="00841F8D" w:rsidRPr="00B2496F" w:rsidRDefault="00841F8D" w:rsidP="005A7088">
            <w:pPr>
              <w:spacing w:after="0"/>
              <w:rPr>
                <w:rFonts w:ascii="Arial" w:hAnsi="Arial" w:cs="Arial"/>
                <w:sz w:val="16"/>
                <w:szCs w:val="16"/>
              </w:rPr>
            </w:pPr>
          </w:p>
        </w:tc>
        <w:tc>
          <w:tcPr>
            <w:tcW w:w="2908" w:type="dxa"/>
            <w:tcBorders>
              <w:top w:val="single" w:sz="4" w:space="0" w:color="auto"/>
              <w:left w:val="nil"/>
              <w:bottom w:val="single" w:sz="4" w:space="0" w:color="auto"/>
              <w:right w:val="single" w:sz="4" w:space="0" w:color="auto"/>
            </w:tcBorders>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Age (per year)</w:t>
            </w:r>
          </w:p>
        </w:tc>
        <w:tc>
          <w:tcPr>
            <w:tcW w:w="1418" w:type="dxa"/>
            <w:tcBorders>
              <w:top w:val="single" w:sz="4" w:space="0" w:color="auto"/>
              <w:left w:val="single" w:sz="4" w:space="0" w:color="auto"/>
              <w:bottom w:val="single" w:sz="4" w:space="0" w:color="auto"/>
              <w:right w:val="nil"/>
            </w:tcBorders>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0.0634</w:t>
            </w:r>
          </w:p>
        </w:tc>
        <w:tc>
          <w:tcPr>
            <w:tcW w:w="4473" w:type="dxa"/>
            <w:vMerge w:val="restart"/>
            <w:shd w:val="clear" w:color="auto" w:fill="auto"/>
          </w:tcPr>
          <w:p w:rsidR="00841F8D" w:rsidRPr="00B2496F" w:rsidRDefault="00795EEF" w:rsidP="005A7088">
            <w:pPr>
              <w:spacing w:after="0"/>
              <w:rPr>
                <w:rFonts w:ascii="Arial" w:eastAsiaTheme="minorEastAsia" w:hAnsi="Arial" w:cs="Arial"/>
                <w:sz w:val="16"/>
                <w:szCs w:val="16"/>
              </w:rPr>
            </w:pPr>
            <m:oMath>
              <m:nary>
                <m:naryPr>
                  <m:chr m:val="∑"/>
                  <m:limLoc m:val="undOvr"/>
                  <m:subHide m:val="1"/>
                  <m:supHide m:val="1"/>
                  <m:ctrlPr>
                    <w:rPr>
                      <w:rFonts w:ascii="Cambria Math" w:hAnsi="Cambria Math" w:cs="Arial"/>
                      <w:i/>
                      <w:sz w:val="16"/>
                      <w:szCs w:val="16"/>
                    </w:rPr>
                  </m:ctrlPr>
                </m:naryPr>
                <m:sub/>
                <m:sup/>
                <m:e>
                  <m:r>
                    <w:rPr>
                      <w:rFonts w:ascii="Cambria Math" w:hAnsi="Cambria Math" w:cs="Arial"/>
                      <w:sz w:val="16"/>
                      <w:szCs w:val="16"/>
                    </w:rPr>
                    <m:t>β(x-</m:t>
                  </m:r>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cen</m:t>
                      </m:r>
                    </m:sub>
                  </m:sSub>
                  <m:r>
                    <w:rPr>
                      <w:rFonts w:ascii="Cambria Math" w:hAnsi="Cambria Math" w:cs="Arial"/>
                      <w:sz w:val="16"/>
                      <w:szCs w:val="16"/>
                    </w:rPr>
                    <m:t>)</m:t>
                  </m:r>
                </m:e>
              </m:nary>
            </m:oMath>
            <w:r w:rsidR="00841F8D" w:rsidRPr="00B2496F">
              <w:rPr>
                <w:rFonts w:ascii="Arial" w:eastAsiaTheme="minorEastAsia" w:hAnsi="Arial" w:cs="Arial"/>
                <w:sz w:val="16"/>
                <w:szCs w:val="16"/>
              </w:rPr>
              <w:t xml:space="preserve"> = </w:t>
            </w:r>
            <w:r w:rsidR="00841F8D" w:rsidRPr="00B2496F">
              <w:rPr>
                <w:rFonts w:ascii="Arial" w:hAnsi="Arial" w:cs="Arial"/>
                <w:sz w:val="16"/>
                <w:szCs w:val="16"/>
              </w:rPr>
              <w:t xml:space="preserve">0.0634 </w:t>
            </w:r>
            <w:r w:rsidR="00841F8D" w:rsidRPr="00B2496F">
              <w:rPr>
                <w:rFonts w:ascii="Arial" w:eastAsiaTheme="minorEastAsia" w:hAnsi="Arial" w:cs="Arial"/>
                <w:sz w:val="16"/>
                <w:szCs w:val="16"/>
              </w:rPr>
              <w:t>x (75-73)</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+ 0.4245 x 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+ 0.3524 x 1</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+ 0.0094 x (140-150)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+ 0.0850 x (5.5-6)</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- 0.3564 x (1.3-1.4)</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- 0.0174 x (75-73) x 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- 0.0247 x (75-73) x 1</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- 0.0005 x (75-73) x (140-150)</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+ 0.0073 x (75-73) x (5.5-6)</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+ 0.0091 x (75-73) x (1.3-1.4)</w:t>
            </w:r>
          </w:p>
          <w:p w:rsidR="00841F8D" w:rsidRPr="00B2496F" w:rsidRDefault="00841F8D" w:rsidP="005A7088">
            <w:pPr>
              <w:spacing w:after="0"/>
              <w:rPr>
                <w:rFonts w:ascii="Arial" w:hAnsi="Arial" w:cs="Arial"/>
                <w:sz w:val="16"/>
                <w:szCs w:val="16"/>
              </w:rPr>
            </w:pPr>
            <w:r w:rsidRPr="00B2496F">
              <w:rPr>
                <w:rFonts w:ascii="Arial" w:hAnsi="Arial" w:cs="Arial"/>
                <w:sz w:val="16"/>
                <w:szCs w:val="16"/>
              </w:rPr>
              <w:t xml:space="preserve">                      = -0.3298</w:t>
            </w:r>
          </w:p>
          <w:p w:rsidR="00841F8D" w:rsidRPr="00B2496F" w:rsidRDefault="00841F8D" w:rsidP="005A7088">
            <w:pPr>
              <w:spacing w:after="0"/>
              <w:rPr>
                <w:rFonts w:ascii="Arial" w:hAnsi="Arial" w:cs="Arial"/>
                <w:sz w:val="16"/>
                <w:szCs w:val="16"/>
              </w:rPr>
            </w:pPr>
          </w:p>
          <w:p w:rsidR="00841F8D" w:rsidRPr="00B2496F" w:rsidRDefault="00841F8D" w:rsidP="005A7088">
            <w:pPr>
              <w:spacing w:after="0"/>
              <w:rPr>
                <w:rFonts w:ascii="Arial" w:hAnsi="Arial" w:cs="Arial"/>
                <w:sz w:val="16"/>
                <w:szCs w:val="16"/>
              </w:rPr>
            </w:pPr>
            <w:r w:rsidRPr="00B2496F">
              <w:rPr>
                <w:rFonts w:ascii="Arial" w:hAnsi="Arial" w:cs="Arial"/>
                <w:sz w:val="16"/>
                <w:szCs w:val="16"/>
              </w:rPr>
              <w:t>Unrecalibrated (original) risk:</w:t>
            </w:r>
          </w:p>
          <w:p w:rsidR="00841F8D" w:rsidRPr="00B2496F" w:rsidRDefault="00841F8D" w:rsidP="005A7088">
            <w:pPr>
              <w:spacing w:after="0"/>
              <w:rPr>
                <w:rFonts w:ascii="Arial" w:eastAsia="Calibri" w:hAnsi="Arial" w:cs="Arial"/>
                <w:sz w:val="16"/>
                <w:szCs w:val="16"/>
              </w:rPr>
            </w:pPr>
            <w:r w:rsidRPr="00B2496F">
              <w:rPr>
                <w:rFonts w:ascii="Arial" w:hAnsi="Arial" w:cs="Arial"/>
                <w:sz w:val="16"/>
                <w:szCs w:val="16"/>
              </w:rPr>
              <w:t>10-yr risk = 1-</w:t>
            </w:r>
            <w:r w:rsidRPr="00B2496F">
              <w:rPr>
                <w:rFonts w:ascii="Arial" w:eastAsia="Calibri" w:hAnsi="Arial" w:cs="Arial"/>
                <w:color w:val="000000"/>
                <w:sz w:val="16"/>
                <w:szCs w:val="16"/>
              </w:rPr>
              <w:t>0.7576^exp(</w:t>
            </w:r>
            <m:oMath>
              <m:nary>
                <m:naryPr>
                  <m:chr m:val="∑"/>
                  <m:limLoc m:val="undOvr"/>
                  <m:subHide m:val="1"/>
                  <m:supHide m:val="1"/>
                  <m:ctrlPr>
                    <w:rPr>
                      <w:rFonts w:ascii="Cambria Math" w:hAnsi="Cambria Math" w:cs="Arial"/>
                      <w:i/>
                      <w:sz w:val="16"/>
                      <w:szCs w:val="16"/>
                    </w:rPr>
                  </m:ctrlPr>
                </m:naryPr>
                <m:sub/>
                <m:sup/>
                <m:e>
                  <m:r>
                    <w:rPr>
                      <w:rFonts w:ascii="Cambria Math" w:hAnsi="Cambria Math" w:cs="Arial"/>
                      <w:sz w:val="16"/>
                      <w:szCs w:val="16"/>
                    </w:rPr>
                    <m:t>β</m:t>
                  </m:r>
                </m:e>
              </m:nary>
              <m:d>
                <m:dPr>
                  <m:ctrlPr>
                    <w:rPr>
                      <w:rFonts w:ascii="Cambria Math" w:hAnsi="Cambria Math" w:cs="Arial"/>
                      <w:i/>
                      <w:sz w:val="16"/>
                      <w:szCs w:val="16"/>
                    </w:rPr>
                  </m:ctrlPr>
                </m:dPr>
                <m:e>
                  <m:r>
                    <w:rPr>
                      <w:rFonts w:ascii="Cambria Math" w:hAnsi="Cambria Math" w:cs="Arial"/>
                      <w:sz w:val="16"/>
                      <w:szCs w:val="16"/>
                    </w:rPr>
                    <m:t>x-</m:t>
                  </m:r>
                  <m:sSub>
                    <m:sSubPr>
                      <m:ctrlPr>
                        <w:rPr>
                          <w:rFonts w:ascii="Cambria Math" w:hAnsi="Cambria Math" w:cs="Arial"/>
                          <w:i/>
                          <w:sz w:val="16"/>
                          <w:szCs w:val="16"/>
                        </w:rPr>
                      </m:ctrlPr>
                    </m:sSubPr>
                    <m:e>
                      <m:r>
                        <w:rPr>
                          <w:rFonts w:ascii="Cambria Math" w:hAnsi="Cambria Math" w:cs="Arial"/>
                          <w:sz w:val="16"/>
                          <w:szCs w:val="16"/>
                        </w:rPr>
                        <m:t>x</m:t>
                      </m:r>
                    </m:e>
                    <m:sub>
                      <m:r>
                        <w:rPr>
                          <w:rFonts w:ascii="Cambria Math" w:hAnsi="Cambria Math" w:cs="Arial"/>
                          <w:sz w:val="16"/>
                          <w:szCs w:val="16"/>
                        </w:rPr>
                        <m:t>cen</m:t>
                      </m:r>
                    </m:sub>
                  </m:sSub>
                </m:e>
              </m:d>
              <m:r>
                <w:rPr>
                  <w:rFonts w:ascii="Cambria Math" w:hAnsi="Cambria Math" w:cs="Arial"/>
                  <w:sz w:val="16"/>
                  <w:szCs w:val="16"/>
                </w:rPr>
                <m:t>-0.0929)</m:t>
              </m:r>
            </m:oMath>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1-0.7576^exp(0.3298 – 0.0929)</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0.2966 = 29.7%</w:t>
            </w:r>
          </w:p>
          <w:p w:rsidR="00841F8D" w:rsidRPr="00B2496F" w:rsidRDefault="00841F8D" w:rsidP="005A7088">
            <w:pPr>
              <w:spacing w:after="0"/>
              <w:rPr>
                <w:rFonts w:ascii="Arial" w:eastAsia="Calibri" w:hAnsi="Arial" w:cs="Arial"/>
                <w:sz w:val="16"/>
                <w:szCs w:val="16"/>
              </w:rPr>
            </w:pP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Recalibrate to low risk region:          </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10-yr risk = 1-exp(-exp(-0.61+0.89 x ln(-ln(1- original risk))))</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1-exp(-exp(-0.61+0.89 x ln(-ln(1- 0.2966)))) </w:t>
            </w:r>
          </w:p>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 xml:space="preserve">                = 0.1930 = 19.3%                  </w:t>
            </w: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tcBorders>
              <w:top w:val="single" w:sz="4" w:space="0" w:color="auto"/>
            </w:tcBorders>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Diabetes</w:t>
            </w:r>
          </w:p>
        </w:tc>
        <w:tc>
          <w:tcPr>
            <w:tcW w:w="1418" w:type="dxa"/>
            <w:tcBorders>
              <w:top w:val="single" w:sz="4" w:space="0" w:color="auto"/>
            </w:tcBorders>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0.4245</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Smoking</w:t>
            </w:r>
          </w:p>
        </w:tc>
        <w:tc>
          <w:tcPr>
            <w:tcW w:w="1418" w:type="dxa"/>
            <w:shd w:val="clear" w:color="auto" w:fill="auto"/>
          </w:tcPr>
          <w:p w:rsidR="00841F8D" w:rsidRPr="00B2496F" w:rsidRDefault="00841F8D" w:rsidP="005A7088">
            <w:pPr>
              <w:spacing w:after="0"/>
              <w:jc w:val="center"/>
              <w:rPr>
                <w:rFonts w:ascii="Arial" w:hAnsi="Arial" w:cs="Arial"/>
                <w:sz w:val="16"/>
                <w:szCs w:val="16"/>
              </w:rPr>
            </w:pPr>
            <w:r w:rsidRPr="00B2496F">
              <w:rPr>
                <w:rFonts w:ascii="Arial" w:hAnsi="Arial" w:cs="Arial"/>
                <w:sz w:val="16"/>
                <w:szCs w:val="16"/>
              </w:rPr>
              <w:t>0.3524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SBP (per mmHg)</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0.0094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Total cholesterol (per mmol/L)</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0.0850</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HDL cholesterol (per mmol/L)</w:t>
            </w:r>
          </w:p>
        </w:tc>
        <w:tc>
          <w:tcPr>
            <w:tcW w:w="1418" w:type="dxa"/>
            <w:shd w:val="clear" w:color="auto" w:fill="auto"/>
          </w:tcPr>
          <w:p w:rsidR="00841F8D" w:rsidRPr="00B2496F" w:rsidRDefault="00841F8D" w:rsidP="005A7088">
            <w:pPr>
              <w:spacing w:after="0"/>
              <w:jc w:val="center"/>
              <w:rPr>
                <w:rFonts w:ascii="Arial" w:hAnsi="Arial" w:cs="Arial"/>
                <w:color w:val="000000"/>
                <w:sz w:val="14"/>
                <w:szCs w:val="14"/>
              </w:rPr>
            </w:pPr>
            <w:r w:rsidRPr="00B2496F">
              <w:rPr>
                <w:rFonts w:ascii="Arial" w:hAnsi="Arial" w:cs="Arial"/>
                <w:sz w:val="16"/>
                <w:szCs w:val="16"/>
              </w:rPr>
              <w:t>-0.3564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Times New Roman" w:hAnsi="Arial" w:cs="Arial"/>
                <w:sz w:val="16"/>
                <w:szCs w:val="16"/>
                <w:lang w:eastAsia="en-GB"/>
              </w:rPr>
            </w:pPr>
            <w:r w:rsidRPr="00B2496F">
              <w:rPr>
                <w:rFonts w:ascii="Arial" w:eastAsia="Times New Roman" w:hAnsi="Arial" w:cs="Arial"/>
                <w:sz w:val="16"/>
                <w:szCs w:val="16"/>
                <w:lang w:eastAsia="en-GB"/>
              </w:rPr>
              <w:t>Diabetes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-0.0174</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vertAlign w:val="superscript"/>
              </w:rPr>
            </w:pPr>
            <w:r w:rsidRPr="00B2496F">
              <w:rPr>
                <w:rFonts w:ascii="Arial" w:eastAsia="Times New Roman" w:hAnsi="Arial" w:cs="Arial"/>
                <w:sz w:val="16"/>
                <w:szCs w:val="16"/>
                <w:lang w:eastAsia="en-GB"/>
              </w:rPr>
              <w:t>Smoking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-0.0247</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Times New Roman" w:hAnsi="Arial" w:cs="Arial"/>
                <w:sz w:val="16"/>
                <w:szCs w:val="16"/>
                <w:lang w:eastAsia="en-GB"/>
              </w:rPr>
              <w:t>SBP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-0.0005</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273"/>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rPr>
                <w:rFonts w:ascii="Arial" w:eastAsia="Calibri" w:hAnsi="Arial" w:cs="Arial"/>
                <w:sz w:val="16"/>
                <w:szCs w:val="16"/>
              </w:rPr>
            </w:pPr>
            <w:r w:rsidRPr="00B2496F">
              <w:rPr>
                <w:rFonts w:ascii="Arial" w:eastAsia="Calibri" w:hAnsi="Arial" w:cs="Arial"/>
                <w:sz w:val="16"/>
                <w:szCs w:val="16"/>
              </w:rPr>
              <w:t>Total cholesterol interaction with age</w:t>
            </w:r>
          </w:p>
        </w:tc>
        <w:tc>
          <w:tcPr>
            <w:tcW w:w="1418" w:type="dxa"/>
            <w:shd w:val="clear" w:color="auto" w:fill="auto"/>
          </w:tcPr>
          <w:p w:rsidR="00841F8D" w:rsidRPr="00B2496F" w:rsidRDefault="00841F8D" w:rsidP="005A7088">
            <w:pPr>
              <w:spacing w:after="0"/>
              <w:jc w:val="center"/>
              <w:rPr>
                <w:rFonts w:ascii="Arial" w:hAnsi="Arial" w:cs="Arial"/>
                <w:color w:val="000000"/>
                <w:sz w:val="16"/>
                <w:szCs w:val="16"/>
              </w:rPr>
            </w:pPr>
            <w:r w:rsidRPr="00B2496F">
              <w:rPr>
                <w:rFonts w:ascii="Arial" w:hAnsi="Arial" w:cs="Arial"/>
                <w:sz w:val="16"/>
                <w:szCs w:val="16"/>
              </w:rPr>
              <w:t>0.0073</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56"/>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2908" w:type="dxa"/>
            <w:shd w:val="clear" w:color="auto" w:fill="auto"/>
          </w:tcPr>
          <w:p w:rsidR="00841F8D" w:rsidRPr="00B2496F" w:rsidRDefault="00841F8D" w:rsidP="005A7088">
            <w:pPr>
              <w:spacing w:after="0" w:line="360" w:lineRule="auto"/>
              <w:rPr>
                <w:rFonts w:ascii="Arial" w:eastAsia="Calibri" w:hAnsi="Arial" w:cs="Arial"/>
                <w:sz w:val="16"/>
                <w:szCs w:val="16"/>
              </w:rPr>
            </w:pPr>
            <w:r w:rsidRPr="00B2496F">
              <w:rPr>
                <w:rFonts w:ascii="Arial" w:eastAsia="Calibri" w:hAnsi="Arial" w:cs="Arial"/>
                <w:sz w:val="16"/>
                <w:szCs w:val="16"/>
              </w:rPr>
              <w:t>HDL cholesterol interaction with age</w:t>
            </w:r>
          </w:p>
        </w:tc>
        <w:tc>
          <w:tcPr>
            <w:tcW w:w="1418" w:type="dxa"/>
            <w:shd w:val="clear" w:color="auto" w:fill="auto"/>
          </w:tcPr>
          <w:p w:rsidR="00841F8D" w:rsidRPr="00B2496F" w:rsidRDefault="00841F8D" w:rsidP="005A7088">
            <w:pPr>
              <w:spacing w:after="0" w:line="360" w:lineRule="auto"/>
              <w:jc w:val="center"/>
              <w:rPr>
                <w:rFonts w:ascii="Arial" w:hAnsi="Arial" w:cs="Arial"/>
                <w:color w:val="000000"/>
                <w:sz w:val="16"/>
                <w:szCs w:val="16"/>
              </w:rPr>
            </w:pPr>
            <w:r w:rsidRPr="00B2496F">
              <w:rPr>
                <w:rFonts w:ascii="Arial" w:hAnsi="Arial" w:cs="Arial"/>
                <w:sz w:val="16"/>
                <w:szCs w:val="16"/>
              </w:rPr>
              <w:t>0.0091</w:t>
            </w: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r w:rsidR="00841F8D" w:rsidRPr="00B2496F" w:rsidTr="005A7088">
        <w:trPr>
          <w:trHeight w:val="944"/>
        </w:trPr>
        <w:tc>
          <w:tcPr>
            <w:tcW w:w="1855" w:type="dxa"/>
            <w:vMerge/>
            <w:shd w:val="clear" w:color="auto" w:fill="auto"/>
          </w:tcPr>
          <w:p w:rsidR="00841F8D" w:rsidRPr="00B2496F" w:rsidRDefault="00841F8D" w:rsidP="005A7088">
            <w:pPr>
              <w:spacing w:after="0"/>
              <w:rPr>
                <w:rFonts w:ascii="Arial" w:hAnsi="Arial" w:cs="Arial"/>
                <w:sz w:val="16"/>
                <w:szCs w:val="16"/>
              </w:rPr>
            </w:pPr>
          </w:p>
        </w:tc>
        <w:tc>
          <w:tcPr>
            <w:tcW w:w="4326" w:type="dxa"/>
            <w:gridSpan w:val="2"/>
            <w:shd w:val="clear" w:color="auto" w:fill="auto"/>
          </w:tcPr>
          <w:p w:rsidR="00841F8D" w:rsidRPr="00B2496F" w:rsidRDefault="00841F8D" w:rsidP="005A7088">
            <w:pPr>
              <w:spacing w:after="0"/>
              <w:jc w:val="center"/>
              <w:rPr>
                <w:rFonts w:ascii="Arial" w:hAnsi="Arial" w:cs="Arial"/>
                <w:sz w:val="16"/>
                <w:szCs w:val="16"/>
              </w:rPr>
            </w:pPr>
          </w:p>
        </w:tc>
        <w:tc>
          <w:tcPr>
            <w:tcW w:w="4473" w:type="dxa"/>
            <w:vMerge/>
            <w:shd w:val="clear" w:color="auto" w:fill="auto"/>
          </w:tcPr>
          <w:p w:rsidR="00841F8D" w:rsidRPr="00B2496F" w:rsidRDefault="00841F8D" w:rsidP="005A7088">
            <w:pPr>
              <w:spacing w:after="0"/>
              <w:rPr>
                <w:rFonts w:ascii="Arial" w:eastAsia="Calibri" w:hAnsi="Arial" w:cs="Arial"/>
                <w:sz w:val="16"/>
                <w:szCs w:val="16"/>
              </w:rPr>
            </w:pPr>
          </w:p>
        </w:tc>
      </w:tr>
    </w:tbl>
    <w:p w:rsidR="00841F8D" w:rsidRPr="00B2496F" w:rsidRDefault="00841F8D" w:rsidP="00841F8D">
      <w:pPr>
        <w:pStyle w:val="dGewonetekst"/>
      </w:pPr>
    </w:p>
    <w:p w:rsidR="00841F8D" w:rsidRPr="00B2496F" w:rsidRDefault="00841F8D" w:rsidP="00841F8D">
      <w:pPr>
        <w:pStyle w:val="dGewonetekst"/>
        <w:sectPr w:rsidR="00841F8D" w:rsidRPr="00B2496F" w:rsidSect="00841F8D">
          <w:pgSz w:w="12240" w:h="15840"/>
          <w:pgMar w:top="1276" w:right="1440" w:bottom="1276" w:left="1440" w:header="284" w:footer="31" w:gutter="0"/>
          <w:cols w:space="720"/>
          <w:docGrid w:linePitch="360"/>
        </w:sectPr>
      </w:pPr>
    </w:p>
    <w:p w:rsidR="00F45927" w:rsidRPr="00B2496F" w:rsidRDefault="00F45927" w:rsidP="00F45927">
      <w:pPr>
        <w:pStyle w:val="aParagraafkop"/>
      </w:pPr>
      <w:r w:rsidRPr="00B2496F">
        <w:lastRenderedPageBreak/>
        <w:t xml:space="preserve">Supplementary </w:t>
      </w:r>
      <w:r w:rsidR="00A91FDB" w:rsidRPr="00B2496F">
        <w:t xml:space="preserve">Methods </w:t>
      </w:r>
      <w:r w:rsidRPr="00B2496F">
        <w:t xml:space="preserve">Figure </w:t>
      </w:r>
      <w:r w:rsidR="003C2BA4" w:rsidRPr="00B2496F">
        <w:t>1</w:t>
      </w:r>
      <w:r w:rsidRPr="00B2496F">
        <w:t xml:space="preserve">: </w:t>
      </w:r>
      <w:r w:rsidRPr="00B2496F">
        <w:rPr>
          <w:b w:val="0"/>
        </w:rPr>
        <w:t>SCORE2-OP</w:t>
      </w:r>
      <w:r w:rsidR="00DD2F80" w:rsidRPr="00B2496F">
        <w:rPr>
          <w:b w:val="0"/>
        </w:rPr>
        <w:t xml:space="preserve"> m</w:t>
      </w:r>
      <w:r w:rsidRPr="00B2496F">
        <w:rPr>
          <w:b w:val="0"/>
        </w:rPr>
        <w:t>odel development process</w:t>
      </w:r>
    </w:p>
    <w:p w:rsidR="00F45927" w:rsidRPr="00B2496F" w:rsidRDefault="00F45927" w:rsidP="00225592">
      <w:pPr>
        <w:pStyle w:val="dGewonetekst"/>
      </w:pPr>
      <w:r w:rsidRPr="00B2496F">
        <w:rPr>
          <w:noProof/>
          <w:lang w:val="nl-NL" w:eastAsia="nl-NL"/>
        </w:rPr>
        <w:drawing>
          <wp:inline distT="0" distB="0" distL="0" distR="0">
            <wp:extent cx="8437880" cy="5376545"/>
            <wp:effectExtent l="0" t="0" r="127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Fig2 SCORE2-OP Model development process.tif"/>
                    <pic:cNvPicPr/>
                  </pic:nvPicPr>
                  <pic:blipFill>
                    <a:blip r:embed="rId9">
                      <a:extLst>
                        <a:ext uri="{28A0092B-C50C-407E-A947-70E740481C1C}">
                          <a14:useLocalDpi xmlns:a14="http://schemas.microsoft.com/office/drawing/2010/main" val="0"/>
                        </a:ext>
                      </a:extLst>
                    </a:blip>
                    <a:stretch>
                      <a:fillRect/>
                    </a:stretch>
                  </pic:blipFill>
                  <pic:spPr>
                    <a:xfrm>
                      <a:off x="0" y="0"/>
                      <a:ext cx="8437880" cy="5376545"/>
                    </a:xfrm>
                    <a:prstGeom prst="rect">
                      <a:avLst/>
                    </a:prstGeom>
                  </pic:spPr>
                </pic:pic>
              </a:graphicData>
            </a:graphic>
          </wp:inline>
        </w:drawing>
      </w:r>
    </w:p>
    <w:p w:rsidR="00F45927" w:rsidRPr="00B2496F" w:rsidRDefault="00F45927" w:rsidP="00225592">
      <w:pPr>
        <w:pStyle w:val="dGewonetekst"/>
        <w:sectPr w:rsidR="00F45927" w:rsidRPr="00B2496F" w:rsidSect="0004390E">
          <w:pgSz w:w="15840" w:h="12240" w:orient="landscape"/>
          <w:pgMar w:top="1440" w:right="1276" w:bottom="1440" w:left="1276" w:header="284" w:footer="31" w:gutter="0"/>
          <w:cols w:space="720"/>
          <w:docGrid w:linePitch="360"/>
        </w:sectPr>
      </w:pPr>
    </w:p>
    <w:p w:rsidR="00A91FDB" w:rsidRPr="00B2496F" w:rsidRDefault="00A91FDB" w:rsidP="00A91FDB">
      <w:pPr>
        <w:pStyle w:val="aParagraafkop"/>
      </w:pPr>
      <w:r w:rsidRPr="00B2496F">
        <w:lastRenderedPageBreak/>
        <w:t xml:space="preserve">Supplementary Methods Figure 2: </w:t>
      </w:r>
      <w:r w:rsidRPr="00B2496F">
        <w:rPr>
          <w:b w:val="0"/>
        </w:rPr>
        <w:t>Methods used for recalibration of risk scores</w:t>
      </w:r>
    </w:p>
    <w:p w:rsidR="00A91FDB" w:rsidRPr="00B2496F" w:rsidRDefault="00A91FDB" w:rsidP="00A91FDB">
      <w:pPr>
        <w:pStyle w:val="Geenafstand"/>
        <w:jc w:val="both"/>
        <w:rPr>
          <w:rFonts w:ascii="Arial" w:hAnsi="Arial" w:cs="Arial"/>
          <w:sz w:val="20"/>
          <w:lang w:val="en-US"/>
        </w:rPr>
      </w:pPr>
    </w:p>
    <w:p w:rsidR="00A91FDB" w:rsidRPr="00B2496F" w:rsidRDefault="00A91FDB" w:rsidP="00A91FDB">
      <w:pPr>
        <w:pStyle w:val="Geenafstand"/>
        <w:ind w:left="-993"/>
        <w:jc w:val="both"/>
        <w:rPr>
          <w:rFonts w:ascii="Arial" w:hAnsi="Arial" w:cs="Arial"/>
          <w:sz w:val="20"/>
          <w:lang w:val="en-US"/>
        </w:rPr>
      </w:pPr>
      <w:r w:rsidRPr="00B2496F">
        <w:rPr>
          <w:rFonts w:ascii="Arial" w:hAnsi="Arial" w:cs="Arial"/>
          <w:noProof/>
          <w:sz w:val="20"/>
          <w:lang w:eastAsia="nl-NL"/>
        </w:rPr>
        <mc:AlternateContent>
          <mc:Choice Requires="wpc">
            <w:drawing>
              <wp:inline distT="0" distB="0" distL="0" distR="0" wp14:anchorId="1BB61581" wp14:editId="3363ABE3">
                <wp:extent cx="7426960" cy="6725039"/>
                <wp:effectExtent l="0" t="0" r="0" b="0"/>
                <wp:docPr id="53" name="Papier 5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 name="Rechthoek 18"/>
                        <wps:cNvSpPr/>
                        <wps:spPr>
                          <a:xfrm>
                            <a:off x="1754370" y="689911"/>
                            <a:ext cx="3636000" cy="4401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rPr>
                                  <w:color w:val="000000" w:themeColor="text1"/>
                                  <w:sz w:val="16"/>
                                </w:rPr>
                              </w:pPr>
                              <m:oMathPara>
                                <m:oMath>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pred,agegroup</m:t>
                                      </m:r>
                                    </m:sub>
                                  </m:sSub>
                                  <m:r>
                                    <w:rPr>
                                      <w:rFonts w:ascii="Cambria Math" w:hAnsi="Cambria Math"/>
                                      <w:color w:val="000000" w:themeColor="text1"/>
                                      <w:sz w:val="18"/>
                                    </w:rPr>
                                    <m:t>=1-</m:t>
                                  </m:r>
                                  <m:sSup>
                                    <m:sSupPr>
                                      <m:ctrlPr>
                                        <w:rPr>
                                          <w:rFonts w:ascii="Cambria Math" w:hAnsi="Cambria Math"/>
                                          <w:i/>
                                          <w:color w:val="000000" w:themeColor="text1"/>
                                          <w:sz w:val="18"/>
                                          <w:lang w:val="nl-NL"/>
                                        </w:rPr>
                                      </m:ctrlPr>
                                    </m:sSupPr>
                                    <m:e>
                                      <m:r>
                                        <w:rPr>
                                          <w:rFonts w:ascii="Cambria Math" w:hAnsi="Cambria Math"/>
                                          <w:color w:val="000000" w:themeColor="text1"/>
                                          <w:sz w:val="18"/>
                                        </w:rPr>
                                        <m:t>0.7576</m:t>
                                      </m:r>
                                    </m:e>
                                    <m:sup>
                                      <m:r>
                                        <m:rPr>
                                          <m:sty m:val="p"/>
                                        </m:rPr>
                                        <w:rPr>
                                          <w:rFonts w:ascii="Cambria Math" w:hAnsi="Cambria Math"/>
                                          <w:color w:val="000000" w:themeColor="text1"/>
                                          <w:sz w:val="18"/>
                                        </w:rPr>
                                        <m:t>exp⁡</m:t>
                                      </m:r>
                                      <m:r>
                                        <w:rPr>
                                          <w:rFonts w:ascii="Cambria Math" w:hAnsi="Cambria Math"/>
                                          <w:color w:val="000000" w:themeColor="text1"/>
                                          <w:sz w:val="18"/>
                                        </w:rPr>
                                        <m:t>(</m:t>
                                      </m:r>
                                      <m:nary>
                                        <m:naryPr>
                                          <m:chr m:val="∑"/>
                                          <m:limLoc m:val="undOvr"/>
                                          <m:subHide m:val="1"/>
                                          <m:supHide m:val="1"/>
                                          <m:ctrlPr>
                                            <w:rPr>
                                              <w:rFonts w:ascii="Cambria Math" w:hAnsi="Cambria Math"/>
                                              <w:i/>
                                              <w:color w:val="000000" w:themeColor="text1"/>
                                              <w:sz w:val="18"/>
                                              <w:lang w:val="nl-NL"/>
                                            </w:rPr>
                                          </m:ctrlPr>
                                        </m:naryPr>
                                        <m:sub/>
                                        <m:sup/>
                                        <m:e>
                                          <m:r>
                                            <w:rPr>
                                              <w:rFonts w:ascii="Cambria Math" w:hAnsi="Cambria Math"/>
                                              <w:color w:val="000000" w:themeColor="text1"/>
                                              <w:sz w:val="18"/>
                                            </w:rPr>
                                            <m:t>β</m:t>
                                          </m:r>
                                          <m:sSub>
                                            <m:sSubPr>
                                              <m:ctrlPr>
                                                <w:rPr>
                                                  <w:rFonts w:ascii="Cambria Math" w:hAnsi="Cambria Math"/>
                                                  <w:i/>
                                                  <w:color w:val="000000" w:themeColor="text1"/>
                                                  <w:sz w:val="18"/>
                                                  <w:lang w:val="nl-NL"/>
                                                </w:rPr>
                                              </m:ctrlPr>
                                            </m:sSubPr>
                                            <m:e>
                                              <m:r>
                                                <w:rPr>
                                                  <w:rFonts w:ascii="Cambria Math" w:hAnsi="Cambria Math"/>
                                                  <w:color w:val="000000" w:themeColor="text1"/>
                                                  <w:sz w:val="18"/>
                                                </w:rPr>
                                                <m:t>x-x</m:t>
                                              </m:r>
                                            </m:e>
                                            <m:sub>
                                              <m:r>
                                                <w:rPr>
                                                  <w:rFonts w:ascii="Cambria Math" w:hAnsi="Cambria Math"/>
                                                  <w:color w:val="000000" w:themeColor="text1"/>
                                                  <w:sz w:val="18"/>
                                                </w:rPr>
                                                <m:t>cen</m:t>
                                              </m:r>
                                            </m:sub>
                                          </m:sSub>
                                          <m:r>
                                            <w:rPr>
                                              <w:rFonts w:ascii="Cambria Math" w:hAnsi="Cambria Math"/>
                                              <w:color w:val="000000" w:themeColor="text1"/>
                                              <w:sz w:val="18"/>
                                            </w:rPr>
                                            <m:t>-0.0929)</m:t>
                                          </m:r>
                                        </m:e>
                                      </m:nary>
                                    </m:sup>
                                  </m:sSup>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hthoek 34"/>
                        <wps:cNvSpPr/>
                        <wps:spPr>
                          <a:xfrm>
                            <a:off x="0" y="566774"/>
                            <a:ext cx="1807532" cy="84735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160" w:afterAutospacing="0" w:line="256" w:lineRule="auto"/>
                                <w:rPr>
                                  <w:rFonts w:ascii="Segoe UI Semilight" w:hAnsi="Segoe UI Semilight" w:cs="Segoe UI Semilight"/>
                                  <w:color w:val="000000" w:themeColor="text1"/>
                                  <w:sz w:val="15"/>
                                  <w:szCs w:val="15"/>
                                  <w:lang w:val="en-US"/>
                                </w:rPr>
                              </w:pPr>
                              <w:r w:rsidRPr="00DC7FC3">
                                <w:rPr>
                                  <w:rFonts w:ascii="Segoe UI Semilight" w:hAnsi="Segoe UI Semilight" w:cs="Segoe UI Semilight"/>
                                  <w:color w:val="000000" w:themeColor="text1"/>
                                  <w:sz w:val="15"/>
                                  <w:szCs w:val="15"/>
                                  <w:lang w:val="en-US"/>
                                </w:rPr>
                                <w:t xml:space="preserve">Use population risk factor values to calculate a </w:t>
                              </w:r>
                              <w:r w:rsidRPr="00DC7FC3">
                                <w:rPr>
                                  <w:rFonts w:ascii="Segoe UI Semilight" w:hAnsi="Segoe UI Semilight" w:cs="Segoe UI Semilight"/>
                                  <w:color w:val="FF0000"/>
                                  <w:sz w:val="15"/>
                                  <w:szCs w:val="15"/>
                                  <w:lang w:val="en-US"/>
                                </w:rPr>
                                <w:t xml:space="preserve">predicted risk </w:t>
                              </w:r>
                              <w:r w:rsidRPr="00DC7FC3">
                                <w:rPr>
                                  <w:rFonts w:ascii="Segoe UI Semilight" w:hAnsi="Segoe UI Semilight" w:cs="Segoe UI Semilight"/>
                                  <w:color w:val="000000" w:themeColor="text1"/>
                                  <w:sz w:val="15"/>
                                  <w:szCs w:val="15"/>
                                  <w:lang w:val="en-US"/>
                                </w:rPr>
                                <w:t>for each age group in the target population using the original equation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 name="Rechthoek 35"/>
                        <wps:cNvSpPr/>
                        <wps:spPr>
                          <a:xfrm>
                            <a:off x="5337544" y="430142"/>
                            <a:ext cx="2048186" cy="158843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rPr>
                                <w:t>θ</w:t>
                              </w:r>
                              <w:r w:rsidRPr="00DC7FC3">
                                <w:rPr>
                                  <w:rFonts w:ascii="Segoe UI Semilight" w:eastAsia="Times New Roman" w:hAnsi="Segoe UI Semilight" w:cs="Segoe UI Semilight"/>
                                  <w:color w:val="000000"/>
                                  <w:sz w:val="15"/>
                                  <w:szCs w:val="15"/>
                                  <w:lang w:val="en-US"/>
                                </w:rPr>
                                <w:t xml:space="preserve"> = 10 year CVD risk</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rPr>
                                <w:t>β</w:t>
                              </w:r>
                              <w:r w:rsidRPr="00DC7FC3">
                                <w:rPr>
                                  <w:rFonts w:ascii="Segoe UI Semilight" w:eastAsia="Times New Roman" w:hAnsi="Segoe UI Semilight" w:cs="Segoe UI Semilight"/>
                                  <w:color w:val="000000"/>
                                  <w:sz w:val="15"/>
                                  <w:szCs w:val="15"/>
                                  <w:lang w:val="en-US"/>
                                </w:rPr>
                                <w:t xml:space="preserve"> = </w:t>
                              </w:r>
                              <w:r>
                                <w:rPr>
                                  <w:rFonts w:ascii="Segoe UI Semilight" w:eastAsia="Times New Roman" w:hAnsi="Segoe UI Semilight" w:cs="Segoe UI Semilight"/>
                                  <w:color w:val="000000"/>
                                  <w:sz w:val="15"/>
                                  <w:szCs w:val="15"/>
                                  <w:lang w:val="en-US"/>
                                </w:rPr>
                                <w:t>SCORE2-OP</w:t>
                              </w:r>
                              <w:r w:rsidRPr="00DC7FC3">
                                <w:rPr>
                                  <w:rFonts w:ascii="Segoe UI Semilight" w:eastAsia="Times New Roman" w:hAnsi="Segoe UI Semilight" w:cs="Segoe UI Semilight"/>
                                  <w:color w:val="000000"/>
                                  <w:sz w:val="15"/>
                                  <w:szCs w:val="15"/>
                                  <w:lang w:val="en-US"/>
                                </w:rPr>
                                <w:t xml:space="preserve"> coefficients</w:t>
                              </w:r>
                            </w:p>
                            <w:p w:rsidR="00795EEF" w:rsidRPr="00BC1C76"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x= age group specific mean risk factor values in the target population</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x</w:t>
                              </w:r>
                              <w:r w:rsidRPr="00BC1C76">
                                <w:rPr>
                                  <w:rFonts w:ascii="Segoe UI Semilight" w:eastAsia="Times New Roman" w:hAnsi="Segoe UI Semilight" w:cs="Segoe UI Semilight"/>
                                  <w:color w:val="000000"/>
                                  <w:sz w:val="15"/>
                                  <w:szCs w:val="15"/>
                                  <w:vertAlign w:val="subscript"/>
                                  <w:lang w:val="en-US"/>
                                </w:rPr>
                                <w:t>cen</w:t>
                              </w:r>
                              <w:r w:rsidRPr="00BC1C76">
                                <w:rPr>
                                  <w:rFonts w:ascii="Segoe UI Semilight" w:eastAsia="Times New Roman" w:hAnsi="Segoe UI Semilight" w:cs="Segoe UI Semilight"/>
                                  <w:color w:val="000000"/>
                                  <w:sz w:val="15"/>
                                  <w:szCs w:val="15"/>
                                  <w:lang w:val="en-US"/>
                                </w:rPr>
                                <w:t xml:space="preserve"> = </w:t>
                              </w:r>
                              <w:r>
                                <w:rPr>
                                  <w:rFonts w:ascii="Segoe UI Semilight" w:eastAsia="Times New Roman" w:hAnsi="Segoe UI Semilight" w:cs="Segoe UI Semilight"/>
                                  <w:color w:val="000000"/>
                                  <w:sz w:val="15"/>
                                  <w:szCs w:val="15"/>
                                  <w:lang w:val="en-US"/>
                                </w:rPr>
                                <w:t>values at which each risk factor was centered in SCORE2-OP</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lang w:val="en-US"/>
                                </w:rPr>
                                <w:t>0.7669 = the 10-year basel</w:t>
                              </w:r>
                              <w:r>
                                <w:rPr>
                                  <w:rFonts w:ascii="Segoe UI Semilight" w:eastAsia="Times New Roman" w:hAnsi="Segoe UI Semilight" w:cs="Segoe UI Semilight"/>
                                  <w:color w:val="000000"/>
                                  <w:sz w:val="15"/>
                                  <w:szCs w:val="15"/>
                                  <w:lang w:val="en-US"/>
                                </w:rPr>
                                <w:t>ine survival</w:t>
                              </w:r>
                            </w:p>
                            <w:p w:rsidR="00795EEF" w:rsidRPr="00DC7FC3" w:rsidRDefault="00795EEF" w:rsidP="00A91FDB">
                              <w:pPr>
                                <w:pStyle w:val="Normaalweb"/>
                                <w:spacing w:before="0" w:beforeAutospacing="0" w:after="0" w:afterAutospacing="0" w:line="254" w:lineRule="auto"/>
                                <w:rPr>
                                  <w:sz w:val="15"/>
                                  <w:szCs w:val="15"/>
                                  <w:lang w:val="en-US"/>
                                </w:rPr>
                              </w:pPr>
                              <w:r w:rsidRPr="00DC7FC3">
                                <w:rPr>
                                  <w:rFonts w:ascii="Segoe UI Semilight" w:eastAsia="Times New Roman" w:hAnsi="Segoe UI Semilight" w:cs="Segoe UI Semilight"/>
                                  <w:color w:val="000000"/>
                                  <w:sz w:val="15"/>
                                  <w:szCs w:val="15"/>
                                  <w:lang w:val="en-US"/>
                                </w:rPr>
                                <w:t xml:space="preserve">0.1111 = linear predictor at mean risk factor levels for </w:t>
                              </w:r>
                              <w:r>
                                <w:rPr>
                                  <w:rFonts w:ascii="Segoe UI Semilight" w:eastAsia="Times New Roman" w:hAnsi="Segoe UI Semilight" w:cs="Segoe UI Semilight"/>
                                  <w:color w:val="000000"/>
                                  <w:sz w:val="15"/>
                                  <w:szCs w:val="15"/>
                                  <w:lang w:val="en-US"/>
                                </w:rPr>
                                <w:t>SCORE2-OP</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 name="Rechte verbindingslijn met pijl 36"/>
                        <wps:cNvCnPr/>
                        <wps:spPr>
                          <a:xfrm>
                            <a:off x="3573563" y="1130061"/>
                            <a:ext cx="322" cy="89714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7" name="Rechthoek 37"/>
                        <wps:cNvSpPr/>
                        <wps:spPr>
                          <a:xfrm>
                            <a:off x="1754370" y="2037669"/>
                            <a:ext cx="3636000" cy="43132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160" w:afterAutospacing="0" w:line="256" w:lineRule="auto"/>
                                <w:rPr>
                                  <w:color w:val="0070C0"/>
                                  <w:sz w:val="18"/>
                                </w:rPr>
                              </w:pPr>
                              <m:oMathPara>
                                <m:oMathParaPr>
                                  <m:jc m:val="centerGroup"/>
                                </m:oMathParaPr>
                                <m:oMath>
                                  <m:sSub>
                                    <m:sSubPr>
                                      <m:ctrlPr>
                                        <w:rPr>
                                          <w:rFonts w:ascii="Cambria Math" w:eastAsia="Calibri" w:hAnsi="Cambria Math"/>
                                          <w:i/>
                                          <w:iCs/>
                                          <w:color w:val="0070C0"/>
                                          <w:sz w:val="18"/>
                                          <w:szCs w:val="22"/>
                                        </w:rPr>
                                      </m:ctrlPr>
                                    </m:sSubPr>
                                    <m:e>
                                      <m:r>
                                        <w:rPr>
                                          <w:rFonts w:ascii="Cambria Math" w:eastAsia="Calibri" w:hAnsi="Cambria Math"/>
                                          <w:color w:val="0070C0"/>
                                          <w:sz w:val="18"/>
                                          <w:szCs w:val="22"/>
                                        </w:rPr>
                                        <m:t>θ</m:t>
                                      </m:r>
                                    </m:e>
                                    <m:sub>
                                      <m:r>
                                        <w:rPr>
                                          <w:rFonts w:ascii="Cambria Math" w:eastAsia="Calibri" w:hAnsi="Cambria Math"/>
                                          <w:color w:val="0070C0"/>
                                          <w:sz w:val="18"/>
                                          <w:szCs w:val="22"/>
                                        </w:rPr>
                                        <m:t>obs, agegroup</m:t>
                                      </m:r>
                                    </m:sub>
                                  </m:sSub>
                                </m:oMath>
                              </m:oMathPara>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Rechthoek 38"/>
                        <wps:cNvSpPr/>
                        <wps:spPr>
                          <a:xfrm>
                            <a:off x="0" y="1744553"/>
                            <a:ext cx="1839432" cy="108037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0" w:afterAutospacing="0" w:line="252" w:lineRule="auto"/>
                                <w:rPr>
                                  <w:sz w:val="15"/>
                                  <w:szCs w:val="15"/>
                                  <w:lang w:val="en-US"/>
                                </w:rPr>
                              </w:pPr>
                              <w:r w:rsidRPr="00DC7FC3">
                                <w:rPr>
                                  <w:rFonts w:ascii="Segoe UI Semilight" w:eastAsia="Times New Roman" w:hAnsi="Segoe UI Semilight" w:cs="Segoe UI Semilight"/>
                                  <w:color w:val="000000"/>
                                  <w:sz w:val="15"/>
                                  <w:szCs w:val="15"/>
                                  <w:lang w:val="en-US"/>
                                </w:rPr>
                                <w:t xml:space="preserve">Use age group specific mortality statistics from the target population and relevant multipliers to estimate </w:t>
                              </w:r>
                              <w:r w:rsidRPr="00DC7FC3">
                                <w:rPr>
                                  <w:rFonts w:ascii="Segoe UI Semilight" w:eastAsia="Times New Roman" w:hAnsi="Segoe UI Semilight" w:cs="Segoe UI Semilight"/>
                                  <w:color w:val="0070C0"/>
                                  <w:sz w:val="15"/>
                                  <w:szCs w:val="15"/>
                                  <w:lang w:val="en-US"/>
                                </w:rPr>
                                <w:t>observed 10-year risk</w:t>
                              </w:r>
                              <w:r w:rsidRPr="00DC7FC3">
                                <w:rPr>
                                  <w:rFonts w:ascii="Segoe UI Semilight" w:eastAsia="Times New Roman" w:hAnsi="Segoe UI Semilight" w:cs="Segoe UI Semilight"/>
                                  <w:color w:val="000000"/>
                                  <w:sz w:val="15"/>
                                  <w:szCs w:val="15"/>
                                  <w:lang w:val="en-US"/>
                                </w:rPr>
                                <w:t xml:space="preserve"> for each age group</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9" name="Rechthoek 39"/>
                        <wps:cNvSpPr/>
                        <wps:spPr>
                          <a:xfrm>
                            <a:off x="5356493" y="1913888"/>
                            <a:ext cx="2070467" cy="65532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Estimating using lifetable approach and application of multipliers for each age group (supplementary methods</w:t>
                              </w:r>
                              <w:r>
                                <w:rPr>
                                  <w:rFonts w:ascii="Segoe UI Semilight" w:eastAsia="Times New Roman" w:hAnsi="Segoe UI Semilight" w:cs="Segoe UI Semilight"/>
                                  <w:color w:val="000000"/>
                                  <w:sz w:val="15"/>
                                  <w:szCs w:val="15"/>
                                  <w:lang w:val="en-US"/>
                                </w:rPr>
                                <w:t xml:space="preserve"> 1</w:t>
                              </w:r>
                              <w:r w:rsidRPr="00BC1C76">
                                <w:rPr>
                                  <w:rFonts w:ascii="Segoe UI Semilight" w:eastAsia="Times New Roman" w:hAnsi="Segoe UI Semilight" w:cs="Segoe UI Semilight"/>
                                  <w:color w:val="000000"/>
                                  <w:sz w:val="15"/>
                                  <w:szCs w:val="15"/>
                                  <w:lang w:val="en-US"/>
                                </w:rPr>
                                <w: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0" name="Rechthoek 40"/>
                        <wps:cNvSpPr/>
                        <wps:spPr>
                          <a:xfrm>
                            <a:off x="1807532" y="2931792"/>
                            <a:ext cx="3636335" cy="184671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160" w:afterAutospacing="0" w:line="256" w:lineRule="auto"/>
                                <w:rPr>
                                  <w:iCs/>
                                  <w:color w:val="000000" w:themeColor="text1"/>
                                  <w:sz w:val="16"/>
                                  <w:szCs w:val="18"/>
                                </w:rPr>
                              </w:pPr>
                              <m:oMathPara>
                                <m:oMath>
                                  <m:r>
                                    <m:rPr>
                                      <m:sty m:val="p"/>
                                    </m:rPr>
                                    <w:rPr>
                                      <w:rFonts w:ascii="Cambria Math" w:eastAsia="Calibri" w:hAnsi="Cambria Math"/>
                                      <w:color w:val="000000" w:themeColor="text1"/>
                                      <w:sz w:val="16"/>
                                      <w:szCs w:val="17"/>
                                    </w:rPr>
                                    <m:t>ln⁡(-</m:t>
                                  </m:r>
                                  <m:func>
                                    <m:funcPr>
                                      <m:ctrlPr>
                                        <w:rPr>
                                          <w:rFonts w:ascii="Cambria Math" w:eastAsia="Calibri" w:hAnsi="Cambria Math"/>
                                          <w:iCs/>
                                          <w:color w:val="000000" w:themeColor="text1"/>
                                          <w:sz w:val="16"/>
                                          <w:szCs w:val="17"/>
                                        </w:rPr>
                                      </m:ctrlPr>
                                    </m:funcPr>
                                    <m:fName>
                                      <m:r>
                                        <m:rPr>
                                          <m:sty m:val="p"/>
                                        </m:rPr>
                                        <w:rPr>
                                          <w:rFonts w:ascii="Cambria Math" w:eastAsia="Calibri" w:hAnsi="Cambria Math"/>
                                          <w:color w:val="000000" w:themeColor="text1"/>
                                          <w:sz w:val="16"/>
                                          <w:szCs w:val="17"/>
                                        </w:rPr>
                                        <m:t>ln</m:t>
                                      </m:r>
                                    </m:fName>
                                    <m:e>
                                      <m:d>
                                        <m:dPr>
                                          <m:ctrlPr>
                                            <w:rPr>
                                              <w:rFonts w:ascii="Cambria Math" w:eastAsia="Calibri" w:hAnsi="Cambria Math"/>
                                              <w:iCs/>
                                              <w:color w:val="000000" w:themeColor="text1"/>
                                              <w:sz w:val="16"/>
                                              <w:szCs w:val="17"/>
                                            </w:rPr>
                                          </m:ctrlPr>
                                        </m:dPr>
                                        <m:e>
                                          <m:r>
                                            <m:rPr>
                                              <m:sty m:val="p"/>
                                            </m:rPr>
                                            <w:rPr>
                                              <w:rFonts w:ascii="Cambria Math" w:eastAsia="Calibri" w:hAnsi="Cambria Math"/>
                                              <w:color w:val="000000" w:themeColor="text1"/>
                                              <w:sz w:val="16"/>
                                              <w:szCs w:val="17"/>
                                            </w:rPr>
                                            <m:t>1-</m:t>
                                          </m:r>
                                          <m:sSub>
                                            <m:sSubPr>
                                              <m:ctrlPr>
                                                <w:rPr>
                                                  <w:rFonts w:ascii="Cambria Math" w:eastAsia="Calibri" w:hAnsi="Cambria Math"/>
                                                  <w:i/>
                                                  <w:iCs/>
                                                  <w:color w:val="0070C0"/>
                                                  <w:sz w:val="16"/>
                                                  <w:szCs w:val="17"/>
                                                </w:rPr>
                                              </m:ctrlPr>
                                            </m:sSubPr>
                                            <m:e>
                                              <m:r>
                                                <w:rPr>
                                                  <w:rFonts w:ascii="Cambria Math" w:eastAsia="Calibri" w:hAnsi="Cambria Math"/>
                                                  <w:color w:val="0070C0"/>
                                                  <w:sz w:val="16"/>
                                                  <w:szCs w:val="17"/>
                                                </w:rPr>
                                                <m:t>θ</m:t>
                                              </m:r>
                                            </m:e>
                                            <m:sub>
                                              <m:r>
                                                <w:rPr>
                                                  <w:rFonts w:ascii="Cambria Math" w:eastAsia="Calibri" w:hAnsi="Cambria Math"/>
                                                  <w:color w:val="0070C0"/>
                                                  <w:sz w:val="16"/>
                                                  <w:szCs w:val="17"/>
                                                </w:rPr>
                                                <m:t>obs, agegroup</m:t>
                                              </m:r>
                                            </m:sub>
                                          </m:sSub>
                                          <m:r>
                                            <w:rPr>
                                              <w:rFonts w:ascii="Cambria Math" w:eastAsia="Calibri" w:hAnsi="Cambria Math"/>
                                              <w:color w:val="000000" w:themeColor="text1"/>
                                              <w:sz w:val="16"/>
                                              <w:szCs w:val="17"/>
                                            </w:rPr>
                                            <m:t>)</m:t>
                                          </m:r>
                                          <m:ctrlPr>
                                            <w:rPr>
                                              <w:rFonts w:ascii="Cambria Math" w:eastAsia="Calibri" w:hAnsi="Cambria Math"/>
                                              <w:i/>
                                              <w:iCs/>
                                              <w:color w:val="0070C0"/>
                                              <w:sz w:val="16"/>
                                              <w:szCs w:val="17"/>
                                            </w:rPr>
                                          </m:ctrlPr>
                                        </m:e>
                                      </m:d>
                                      <m:r>
                                        <w:rPr>
                                          <w:rFonts w:ascii="Cambria Math" w:eastAsia="Calibri" w:hAnsi="Cambria Math"/>
                                          <w:color w:val="000000" w:themeColor="text1"/>
                                          <w:sz w:val="16"/>
                                          <w:szCs w:val="17"/>
                                        </w:rPr>
                                        <m:t xml:space="preserve">=Scale1+Scale2 x </m:t>
                                      </m:r>
                                      <m:r>
                                        <m:rPr>
                                          <m:sty m:val="p"/>
                                        </m:rPr>
                                        <w:rPr>
                                          <w:rFonts w:ascii="Cambria Math" w:eastAsia="Calibri" w:hAnsi="Cambria Math"/>
                                          <w:color w:val="000000" w:themeColor="text1"/>
                                          <w:sz w:val="16"/>
                                          <w:szCs w:val="17"/>
                                        </w:rPr>
                                        <m:t>ln⁡</m:t>
                                      </m:r>
                                      <m:r>
                                        <w:rPr>
                                          <w:rFonts w:ascii="Cambria Math" w:eastAsia="Calibri" w:hAnsi="Cambria Math"/>
                                          <w:color w:val="000000" w:themeColor="text1"/>
                                          <w:sz w:val="16"/>
                                          <w:szCs w:val="17"/>
                                        </w:rPr>
                                        <m:t>(-</m:t>
                                      </m:r>
                                      <m:func>
                                        <m:funcPr>
                                          <m:ctrlPr>
                                            <w:rPr>
                                              <w:rFonts w:ascii="Cambria Math" w:eastAsia="Calibri" w:hAnsi="Cambria Math"/>
                                              <w:iCs/>
                                              <w:color w:val="000000" w:themeColor="text1"/>
                                              <w:sz w:val="16"/>
                                              <w:szCs w:val="17"/>
                                            </w:rPr>
                                          </m:ctrlPr>
                                        </m:funcPr>
                                        <m:fName>
                                          <m:r>
                                            <m:rPr>
                                              <m:sty m:val="p"/>
                                            </m:rPr>
                                            <w:rPr>
                                              <w:rFonts w:ascii="Cambria Math" w:eastAsia="Calibri" w:hAnsi="Cambria Math"/>
                                              <w:color w:val="000000" w:themeColor="text1"/>
                                              <w:sz w:val="16"/>
                                              <w:szCs w:val="17"/>
                                            </w:rPr>
                                            <m:t>ln</m:t>
                                          </m:r>
                                          <m:ctrlPr>
                                            <w:rPr>
                                              <w:rFonts w:ascii="Cambria Math" w:eastAsia="Calibri" w:hAnsi="Cambria Math"/>
                                              <w:i/>
                                              <w:iCs/>
                                              <w:color w:val="000000" w:themeColor="text1"/>
                                              <w:sz w:val="16"/>
                                              <w:szCs w:val="17"/>
                                            </w:rPr>
                                          </m:ctrlPr>
                                        </m:fName>
                                        <m:e>
                                          <m:d>
                                            <m:dPr>
                                              <m:ctrlPr>
                                                <w:rPr>
                                                  <w:rFonts w:ascii="Cambria Math" w:eastAsia="Calibri" w:hAnsi="Cambria Math"/>
                                                  <w:i/>
                                                  <w:iCs/>
                                                  <w:color w:val="000000" w:themeColor="text1"/>
                                                  <w:sz w:val="16"/>
                                                  <w:szCs w:val="17"/>
                                                </w:rPr>
                                              </m:ctrlPr>
                                            </m:dPr>
                                            <m:e>
                                              <m:r>
                                                <w:rPr>
                                                  <w:rFonts w:ascii="Cambria Math" w:eastAsia="Calibri" w:hAnsi="Cambria Math"/>
                                                  <w:color w:val="000000" w:themeColor="text1"/>
                                                  <w:sz w:val="16"/>
                                                  <w:szCs w:val="17"/>
                                                </w:rPr>
                                                <m:t xml:space="preserve">1- </m:t>
                                              </m:r>
                                              <m:sSub>
                                                <m:sSubPr>
                                                  <m:ctrlPr>
                                                    <w:rPr>
                                                      <w:rFonts w:ascii="Cambria Math" w:eastAsiaTheme="minorHAnsi" w:hAnsi="Cambria Math" w:cstheme="minorBidi"/>
                                                      <w:i/>
                                                      <w:color w:val="000000" w:themeColor="text1"/>
                                                      <w:sz w:val="16"/>
                                                      <w:szCs w:val="17"/>
                                                      <w:lang w:eastAsia="en-US"/>
                                                    </w:rPr>
                                                  </m:ctrlPr>
                                                </m:sSubPr>
                                                <m:e>
                                                  <m:r>
                                                    <w:rPr>
                                                      <w:rFonts w:ascii="Cambria Math" w:hAnsi="Cambria Math"/>
                                                      <w:color w:val="FF0000"/>
                                                      <w:sz w:val="16"/>
                                                      <w:szCs w:val="17"/>
                                                    </w:rPr>
                                                    <m:t>θ</m:t>
                                                  </m:r>
                                                </m:e>
                                                <m:sub>
                                                  <m:r>
                                                    <w:rPr>
                                                      <w:rFonts w:ascii="Cambria Math" w:hAnsi="Cambria Math"/>
                                                      <w:color w:val="FF0000"/>
                                                      <w:sz w:val="16"/>
                                                      <w:szCs w:val="17"/>
                                                    </w:rPr>
                                                    <m:t>pred,agegroup</m:t>
                                                  </m:r>
                                                </m:sub>
                                              </m:sSub>
                                              <m:r>
                                                <w:rPr>
                                                  <w:rFonts w:ascii="Cambria Math" w:eastAsiaTheme="minorHAnsi" w:hAnsi="Cambria Math" w:cstheme="minorBidi"/>
                                                  <w:color w:val="000000" w:themeColor="text1"/>
                                                  <w:sz w:val="16"/>
                                                  <w:szCs w:val="17"/>
                                                </w:rPr>
                                                <m:t>)</m:t>
                                              </m:r>
                                              <m:ctrlPr>
                                                <w:rPr>
                                                  <w:rFonts w:ascii="Cambria Math" w:eastAsiaTheme="minorHAnsi" w:hAnsi="Cambria Math" w:cstheme="minorBidi"/>
                                                  <w:i/>
                                                  <w:color w:val="000000" w:themeColor="text1"/>
                                                  <w:sz w:val="16"/>
                                                  <w:szCs w:val="17"/>
                                                </w:rPr>
                                              </m:ctrlPr>
                                            </m:e>
                                          </m:d>
                                        </m:e>
                                      </m:func>
                                    </m:e>
                                  </m:func>
                                </m:oMath>
                              </m:oMathPara>
                            </w:p>
                            <w:p w:rsidR="00795EEF" w:rsidRPr="00DC7FC3" w:rsidRDefault="00795EEF" w:rsidP="00A91FDB">
                              <w:pPr>
                                <w:pStyle w:val="Normaalweb"/>
                                <w:spacing w:before="0" w:beforeAutospacing="0" w:after="160" w:afterAutospacing="0" w:line="256" w:lineRule="auto"/>
                                <w:ind w:left="426"/>
                                <w:rPr>
                                  <w:color w:val="0070C0"/>
                                  <w:sz w:val="18"/>
                                </w:rPr>
                              </w:pPr>
                              <w:r w:rsidRPr="00DC7FC3">
                                <w:rPr>
                                  <w:noProof/>
                                  <w:sz w:val="22"/>
                                </w:rPr>
                                <w:drawing>
                                  <wp:inline distT="0" distB="0" distL="0" distR="0" wp14:anchorId="27D15234" wp14:editId="244B5E19">
                                    <wp:extent cx="1371600" cy="1286833"/>
                                    <wp:effectExtent l="0" t="0" r="0" b="889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74725" cy="1289765"/>
                                            </a:xfrm>
                                            <a:prstGeom prst="rect">
                                              <a:avLst/>
                                            </a:prstGeom>
                                          </pic:spPr>
                                        </pic:pic>
                                      </a:graphicData>
                                    </a:graphic>
                                  </wp:inline>
                                </w:drawing>
                              </w:r>
                            </w:p>
                            <w:p w:rsidR="00795EEF" w:rsidRPr="00DC7FC3" w:rsidRDefault="00795EEF" w:rsidP="00A91FDB">
                              <w:pPr>
                                <w:pStyle w:val="Normaalweb"/>
                                <w:spacing w:before="0" w:beforeAutospacing="0" w:after="160" w:afterAutospacing="0" w:line="256" w:lineRule="auto"/>
                                <w:rPr>
                                  <w:color w:val="0070C0"/>
                                  <w:sz w:val="18"/>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1" name="Rechthoek 41"/>
                        <wps:cNvSpPr/>
                        <wps:spPr>
                          <a:xfrm>
                            <a:off x="2529973" y="4451231"/>
                            <a:ext cx="932808" cy="32730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175B62" w:rsidRDefault="00795EEF" w:rsidP="00A91FDB">
                              <w:pPr>
                                <w:pStyle w:val="Normaalweb"/>
                                <w:spacing w:before="0" w:beforeAutospacing="0" w:after="0" w:afterAutospacing="0" w:line="252" w:lineRule="auto"/>
                                <w:rPr>
                                  <w:color w:val="FF0000"/>
                                </w:rPr>
                              </w:pPr>
                              <w:r w:rsidRPr="00175B62">
                                <w:rPr>
                                  <w:rFonts w:ascii="Segoe UI Semilight" w:eastAsia="Times New Roman" w:hAnsi="Segoe UI Semilight" w:cs="Segoe UI Semilight"/>
                                  <w:color w:val="FF0000"/>
                                  <w:sz w:val="14"/>
                                  <w:szCs w:val="14"/>
                                </w:rPr>
                                <w:t>Predicted</w:t>
                              </w:r>
                              <w:r>
                                <w:rPr>
                                  <w:rFonts w:ascii="Segoe UI Semilight" w:eastAsia="Times New Roman" w:hAnsi="Segoe UI Semilight" w:cs="Segoe UI Semilight"/>
                                  <w:color w:val="FF0000"/>
                                  <w:sz w:val="14"/>
                                  <w:szCs w:val="14"/>
                                </w:rPr>
                                <w:t xml:space="preserve"> risk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2" name="Rechthoek 42"/>
                        <wps:cNvSpPr/>
                        <wps:spPr>
                          <a:xfrm rot="16200000">
                            <a:off x="1625990" y="3596058"/>
                            <a:ext cx="932180" cy="3270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175B62" w:rsidRDefault="00795EEF" w:rsidP="00A91FDB">
                              <w:pPr>
                                <w:pStyle w:val="Normaalweb"/>
                                <w:spacing w:before="0" w:beforeAutospacing="0" w:after="0" w:afterAutospacing="0" w:line="252" w:lineRule="auto"/>
                                <w:rPr>
                                  <w:color w:val="0070C0"/>
                                </w:rPr>
                              </w:pPr>
                              <w:r w:rsidRPr="00175B62">
                                <w:rPr>
                                  <w:rFonts w:ascii="Segoe UI Semilight" w:eastAsia="Times New Roman" w:hAnsi="Segoe UI Semilight" w:cs="Segoe UI Semilight"/>
                                  <w:color w:val="0070C0"/>
                                  <w:sz w:val="14"/>
                                  <w:szCs w:val="14"/>
                                </w:rPr>
                                <w:t>Observed risk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3" name="Tekstvak 43"/>
                        <wps:cNvSpPr txBox="1"/>
                        <wps:spPr>
                          <a:xfrm>
                            <a:off x="3785185" y="3358586"/>
                            <a:ext cx="1571308" cy="1025259"/>
                          </a:xfrm>
                          <a:prstGeom prst="rect">
                            <a:avLst/>
                          </a:prstGeom>
                          <a:noFill/>
                          <a:ln w="6350">
                            <a:noFill/>
                          </a:ln>
                        </wps:spPr>
                        <wps:txbx>
                          <w:txbxContent>
                            <w:p w:rsidR="00795EEF" w:rsidRPr="00DC7FC3" w:rsidRDefault="00795EEF" w:rsidP="00A91FDB">
                              <w:pPr>
                                <w:spacing w:line="240" w:lineRule="auto"/>
                                <w:rPr>
                                  <w:rFonts w:ascii="Segoe UI Semilight" w:hAnsi="Segoe UI Semilight" w:cs="Segoe UI Semilight"/>
                                  <w:sz w:val="16"/>
                                </w:rPr>
                              </w:pPr>
                              <w:r w:rsidRPr="00DC7FC3">
                                <w:rPr>
                                  <w:rFonts w:ascii="Segoe UI Semilight" w:hAnsi="Segoe UI Semilight" w:cs="Segoe UI Semilight"/>
                                  <w:sz w:val="16"/>
                                </w:rPr>
                                <w:t>Each point</w:t>
                              </w:r>
                              <w:r>
                                <w:rPr>
                                  <w:rFonts w:ascii="Segoe UI Semilight" w:hAnsi="Segoe UI Semilight" w:cs="Segoe UI Semilight"/>
                                  <w:sz w:val="16"/>
                                </w:rPr>
                                <w:t xml:space="preserve"> </w:t>
                              </w:r>
                              <w:r w:rsidRPr="00DC7FC3">
                                <w:rPr>
                                  <w:rFonts w:ascii="Segoe UI Semilight" w:hAnsi="Segoe UI Semilight" w:cs="Segoe UI Semilight"/>
                                  <w:sz w:val="16"/>
                                </w:rPr>
                                <w:t>represents one age group</w:t>
                              </w:r>
                            </w:p>
                            <w:p w:rsidR="00795EEF" w:rsidRPr="00DC7FC3" w:rsidRDefault="00795EEF" w:rsidP="00A91FDB">
                              <w:pPr>
                                <w:spacing w:line="240" w:lineRule="auto"/>
                                <w:ind w:firstLine="720"/>
                                <w:rPr>
                                  <w:rFonts w:ascii="Segoe UI Semilight" w:hAnsi="Segoe UI Semilight" w:cs="Segoe UI Semilight"/>
                                  <w:sz w:val="16"/>
                                </w:rPr>
                              </w:pPr>
                              <w:r w:rsidRPr="00DC7FC3">
                                <w:rPr>
                                  <w:rFonts w:ascii="Segoe UI Semilight" w:hAnsi="Segoe UI Semilight" w:cs="Segoe UI Semilight"/>
                                  <w:sz w:val="16"/>
                                </w:rPr>
                                <w:t>Fitted line</w:t>
                              </w:r>
                            </w:p>
                            <w:p w:rsidR="00795EEF" w:rsidRPr="00DC7FC3" w:rsidRDefault="00795EEF" w:rsidP="00A91FDB">
                              <w:pPr>
                                <w:spacing w:line="240" w:lineRule="auto"/>
                                <w:ind w:firstLine="720"/>
                                <w:rPr>
                                  <w:rFonts w:ascii="Segoe UI Semilight" w:hAnsi="Segoe UI Semilight" w:cs="Segoe UI Semilight"/>
                                  <w:sz w:val="16"/>
                                </w:rPr>
                              </w:pPr>
                              <w:r w:rsidRPr="00DC7FC3">
                                <w:rPr>
                                  <w:rFonts w:ascii="Segoe UI Semilight" w:hAnsi="Segoe UI Semilight" w:cs="Segoe UI Semilight"/>
                                  <w:sz w:val="16"/>
                                </w:rPr>
                                <w:t>Line of equality</w:t>
                              </w:r>
                            </w:p>
                            <w:p w:rsidR="00795EEF" w:rsidRPr="00DC7FC3" w:rsidRDefault="00795EEF" w:rsidP="00A91FDB">
                              <w:pPr>
                                <w:spacing w:line="240" w:lineRule="auto"/>
                                <w:rPr>
                                  <w:rFonts w:ascii="Segoe UI Semilight" w:hAnsi="Segoe UI Semilight" w:cs="Segoe UI Semilight"/>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 name="Rechte verbindingslijn 44"/>
                        <wps:cNvCnPr/>
                        <wps:spPr>
                          <a:xfrm>
                            <a:off x="3937232" y="3881893"/>
                            <a:ext cx="301947"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45" name="Rechte verbindingslijn 45"/>
                        <wps:cNvCnPr/>
                        <wps:spPr>
                          <a:xfrm>
                            <a:off x="3935937" y="4113511"/>
                            <a:ext cx="301625" cy="0"/>
                          </a:xfrm>
                          <a:prstGeom prst="line">
                            <a:avLst/>
                          </a:prstGeom>
                          <a:ln>
                            <a:solidFill>
                              <a:schemeClr val="tx1"/>
                            </a:solidFill>
                            <a:prstDash val="sysDash"/>
                          </a:ln>
                        </wps:spPr>
                        <wps:style>
                          <a:lnRef idx="1">
                            <a:schemeClr val="accent1"/>
                          </a:lnRef>
                          <a:fillRef idx="0">
                            <a:schemeClr val="accent1"/>
                          </a:fillRef>
                          <a:effectRef idx="0">
                            <a:schemeClr val="accent1"/>
                          </a:effectRef>
                          <a:fontRef idx="minor">
                            <a:schemeClr val="tx1"/>
                          </a:fontRef>
                        </wps:style>
                        <wps:bodyPr/>
                      </wps:wsp>
                      <wps:wsp>
                        <wps:cNvPr id="46" name="Rechthoek 46"/>
                        <wps:cNvSpPr/>
                        <wps:spPr>
                          <a:xfrm>
                            <a:off x="1" y="2931821"/>
                            <a:ext cx="1913859" cy="184671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 xml:space="preserve">Calculate rescaling factors needed to bring </w:t>
                              </w:r>
                              <w:r w:rsidRPr="00BC1C76">
                                <w:rPr>
                                  <w:rFonts w:ascii="Segoe UI Semilight" w:eastAsia="Times New Roman" w:hAnsi="Segoe UI Semilight" w:cs="Segoe UI Semilight"/>
                                  <w:color w:val="FF0000"/>
                                  <w:sz w:val="15"/>
                                  <w:szCs w:val="15"/>
                                  <w:lang w:val="en-US"/>
                                </w:rPr>
                                <w:t>predicted risks</w:t>
                              </w:r>
                              <w:r w:rsidRPr="00BC1C76">
                                <w:rPr>
                                  <w:rFonts w:ascii="Segoe UI Semilight" w:eastAsia="Times New Roman" w:hAnsi="Segoe UI Semilight" w:cs="Segoe UI Semilight"/>
                                  <w:color w:val="000000"/>
                                  <w:sz w:val="15"/>
                                  <w:szCs w:val="15"/>
                                  <w:lang w:val="en-US"/>
                                </w:rPr>
                                <w:t xml:space="preserve"> in line with </w:t>
                              </w:r>
                              <w:r w:rsidRPr="00BC1C76">
                                <w:rPr>
                                  <w:rFonts w:ascii="Segoe UI Semilight" w:eastAsia="Times New Roman" w:hAnsi="Segoe UI Semilight" w:cs="Segoe UI Semilight"/>
                                  <w:color w:val="0070C0"/>
                                  <w:sz w:val="15"/>
                                  <w:szCs w:val="15"/>
                                  <w:lang w:val="en-US"/>
                                </w:rPr>
                                <w:t xml:space="preserve">observed risks </w:t>
                              </w:r>
                              <w:r w:rsidRPr="00BC1C76">
                                <w:rPr>
                                  <w:rFonts w:ascii="Segoe UI Semilight" w:eastAsia="Times New Roman" w:hAnsi="Segoe UI Semilight" w:cs="Segoe UI Semilight"/>
                                  <w:color w:val="000000"/>
                                  <w:sz w:val="15"/>
                                  <w:szCs w:val="15"/>
                                  <w:lang w:val="en-US"/>
                                </w:rPr>
                                <w:t>for the target population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 name="Rechthoek 47"/>
                        <wps:cNvSpPr/>
                        <wps:spPr>
                          <a:xfrm>
                            <a:off x="5410201" y="2931815"/>
                            <a:ext cx="2016759" cy="184671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BC1C76"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 xml:space="preserve">Regress the age-specific </w:t>
                              </w:r>
                              <w:r w:rsidRPr="00BC1C76">
                                <w:rPr>
                                  <w:rFonts w:ascii="Segoe UI Semilight" w:eastAsia="Times New Roman" w:hAnsi="Segoe UI Semilight" w:cs="Segoe UI Semilight"/>
                                  <w:i/>
                                  <w:color w:val="000000"/>
                                  <w:sz w:val="15"/>
                                  <w:szCs w:val="15"/>
                                  <w:lang w:val="en-US"/>
                                </w:rPr>
                                <w:t>observed-on-predicted</w:t>
                              </w:r>
                              <w:r w:rsidRPr="00BC1C76">
                                <w:rPr>
                                  <w:rFonts w:ascii="Segoe UI Semilight" w:eastAsia="Times New Roman" w:hAnsi="Segoe UI Semilight" w:cs="Segoe UI Semilight"/>
                                  <w:color w:val="000000"/>
                                  <w:sz w:val="15"/>
                                  <w:szCs w:val="15"/>
                                  <w:lang w:val="en-US"/>
                                </w:rPr>
                                <w:t xml:space="preserve"> risks</w:t>
                              </w:r>
                            </w:p>
                            <w:p w:rsidR="00795EEF" w:rsidRPr="00BC1C76"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(note values are first transformed)</w:t>
                              </w:r>
                            </w:p>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Scale1 and Scale2 are the estimated rescaling factors)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 name="Rechthoek 48"/>
                        <wps:cNvSpPr/>
                        <wps:spPr>
                          <a:xfrm>
                            <a:off x="0" y="33351"/>
                            <a:ext cx="2011045" cy="423849"/>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644EC8" w:rsidRDefault="00795EEF" w:rsidP="00A91FDB">
                              <w:pPr>
                                <w:pStyle w:val="Normaalweb"/>
                                <w:spacing w:before="0" w:beforeAutospacing="0" w:after="160" w:afterAutospacing="0" w:line="254" w:lineRule="auto"/>
                                <w:rPr>
                                  <w:rFonts w:ascii="Segoe UI" w:hAnsi="Segoe UI" w:cs="Segoe UI"/>
                                  <w:b/>
                                </w:rPr>
                              </w:pPr>
                              <w:r w:rsidRPr="00644EC8">
                                <w:rPr>
                                  <w:rFonts w:ascii="Segoe UI" w:eastAsia="Times New Roman" w:hAnsi="Segoe UI" w:cs="Segoe UI"/>
                                  <w:b/>
                                  <w:color w:val="000000"/>
                                  <w:sz w:val="16"/>
                                  <w:szCs w:val="16"/>
                                </w:rPr>
                                <w:t>General process: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9" name="Linkeraccolade 49"/>
                        <wps:cNvSpPr/>
                        <wps:spPr>
                          <a:xfrm rot="5400000">
                            <a:off x="4423351" y="-2298759"/>
                            <a:ext cx="173195" cy="5553359"/>
                          </a:xfrm>
                          <a:prstGeom prst="leftBrace">
                            <a:avLst>
                              <a:gd name="adj1" fmla="val 68333"/>
                              <a:gd name="adj2" fmla="val 49516"/>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 name="Rechthoek 50"/>
                        <wps:cNvSpPr/>
                        <wps:spPr>
                          <a:xfrm>
                            <a:off x="3133173" y="33351"/>
                            <a:ext cx="2880505" cy="42354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DC7FC3" w:rsidRDefault="00795EEF" w:rsidP="00A91FDB">
                              <w:pPr>
                                <w:pStyle w:val="Normaalweb"/>
                                <w:spacing w:before="0" w:beforeAutospacing="0" w:after="160" w:afterAutospacing="0" w:line="252" w:lineRule="auto"/>
                                <w:jc w:val="center"/>
                                <w:rPr>
                                  <w:rFonts w:ascii="Segoe UI" w:hAnsi="Segoe UI" w:cs="Segoe UI"/>
                                  <w:b/>
                                  <w:lang w:val="en-US"/>
                                </w:rPr>
                              </w:pPr>
                              <w:r w:rsidRPr="00644EC8">
                                <w:rPr>
                                  <w:rFonts w:ascii="Segoe UI" w:eastAsia="Times New Roman" w:hAnsi="Segoe UI" w:cs="Segoe UI"/>
                                  <w:b/>
                                  <w:bCs/>
                                  <w:color w:val="000000"/>
                                  <w:sz w:val="16"/>
                                  <w:szCs w:val="16"/>
                                  <w:lang w:val="en-US"/>
                                </w:rPr>
                                <w:t xml:space="preserve">Details/example using </w:t>
                              </w:r>
                              <w:r>
                                <w:rPr>
                                  <w:rFonts w:ascii="Segoe UI" w:eastAsia="Times New Roman" w:hAnsi="Segoe UI" w:cs="Segoe UI"/>
                                  <w:b/>
                                  <w:bCs/>
                                  <w:color w:val="000000"/>
                                  <w:sz w:val="16"/>
                                  <w:szCs w:val="16"/>
                                  <w:lang w:val="en-US"/>
                                </w:rPr>
                                <w:t>SCORE2-OP</w:t>
                              </w:r>
                              <w:r w:rsidRPr="00644EC8">
                                <w:rPr>
                                  <w:rFonts w:ascii="Segoe UI" w:eastAsia="Times New Roman" w:hAnsi="Segoe UI" w:cs="Segoe UI"/>
                                  <w:b/>
                                  <w:bCs/>
                                  <w:color w:val="000000"/>
                                  <w:sz w:val="16"/>
                                  <w:szCs w:val="16"/>
                                  <w:lang w:val="en-US"/>
                                </w:rPr>
                                <w:t xml:space="preserve"> for men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 name="Rechte verbindingslijn met pijl 51"/>
                        <wps:cNvCnPr/>
                        <wps:spPr>
                          <a:xfrm>
                            <a:off x="3608251" y="2467155"/>
                            <a:ext cx="0" cy="46467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2" name="Rechthoek 52"/>
                        <wps:cNvSpPr/>
                        <wps:spPr>
                          <a:xfrm>
                            <a:off x="1807532" y="5167077"/>
                            <a:ext cx="3636000" cy="112894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r w:rsidRPr="00BC1C76">
                                <w:rPr>
                                  <w:rFonts w:ascii="Segoe UI Semilight" w:hAnsi="Segoe UI Semilight" w:cs="Segoe UI Semilight"/>
                                  <w:color w:val="000000" w:themeColor="text1"/>
                                  <w:sz w:val="14"/>
                                  <w:lang w:val="en-US"/>
                                </w:rPr>
                                <w:t xml:space="preserve">(A) Calculate original risk </w:t>
                              </w:r>
                              <w:r>
                                <w:rPr>
                                  <w:rFonts w:ascii="Segoe UI Semilight" w:hAnsi="Segoe UI Semilight" w:cs="Segoe UI Semilight"/>
                                  <w:color w:val="000000" w:themeColor="text1"/>
                                  <w:sz w:val="14"/>
                                  <w:lang w:val="en-US"/>
                                </w:rPr>
                                <w:t>estimation</w:t>
                              </w:r>
                              <w:r w:rsidRPr="00BC1C76">
                                <w:rPr>
                                  <w:rFonts w:ascii="Segoe UI Semilight" w:hAnsi="Segoe UI Semilight" w:cs="Segoe UI Semilight"/>
                                  <w:color w:val="000000" w:themeColor="text1"/>
                                  <w:sz w:val="14"/>
                                  <w:lang w:val="en-US"/>
                                </w:rPr>
                                <w:t xml:space="preserve"> for an individual or specific combination of risk factors:</w:t>
                              </w:r>
                            </w:p>
                            <w:p w:rsidR="00795EEF" w:rsidRPr="00BC1C76" w:rsidRDefault="00795EEF" w:rsidP="00A91FDB">
                              <w:pPr>
                                <w:rPr>
                                  <w:color w:val="000000" w:themeColor="text1"/>
                                  <w:sz w:val="18"/>
                                </w:rPr>
                              </w:pPr>
                              <m:oMathPara>
                                <m:oMath>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m:t>
                                      </m:r>
                                    </m:sub>
                                  </m:sSub>
                                  <m:r>
                                    <w:rPr>
                                      <w:rFonts w:ascii="Cambria Math" w:hAnsi="Cambria Math"/>
                                      <w:color w:val="000000" w:themeColor="text1"/>
                                      <w:sz w:val="18"/>
                                    </w:rPr>
                                    <m:t>=1-</m:t>
                                  </m:r>
                                  <m:sSup>
                                    <m:sSupPr>
                                      <m:ctrlPr>
                                        <w:rPr>
                                          <w:rFonts w:ascii="Cambria Math" w:hAnsi="Cambria Math"/>
                                          <w:i/>
                                          <w:color w:val="000000" w:themeColor="text1"/>
                                          <w:sz w:val="18"/>
                                          <w:lang w:val="nl-NL"/>
                                        </w:rPr>
                                      </m:ctrlPr>
                                    </m:sSupPr>
                                    <m:e>
                                      <m:r>
                                        <w:rPr>
                                          <w:rFonts w:ascii="Cambria Math" w:hAnsi="Cambria Math"/>
                                          <w:color w:val="000000" w:themeColor="text1"/>
                                          <w:sz w:val="18"/>
                                        </w:rPr>
                                        <m:t>0.7576</m:t>
                                      </m:r>
                                    </m:e>
                                    <m:sup>
                                      <m:r>
                                        <m:rPr>
                                          <m:sty m:val="p"/>
                                        </m:rPr>
                                        <w:rPr>
                                          <w:rFonts w:ascii="Cambria Math" w:hAnsi="Cambria Math"/>
                                          <w:color w:val="000000" w:themeColor="text1"/>
                                          <w:sz w:val="18"/>
                                        </w:rPr>
                                        <m:t>exp⁡</m:t>
                                      </m:r>
                                      <m:r>
                                        <w:rPr>
                                          <w:rFonts w:ascii="Cambria Math" w:hAnsi="Cambria Math"/>
                                          <w:color w:val="000000" w:themeColor="text1"/>
                                          <w:sz w:val="18"/>
                                        </w:rPr>
                                        <m:t>(</m:t>
                                      </m:r>
                                      <m:nary>
                                        <m:naryPr>
                                          <m:chr m:val="∑"/>
                                          <m:limLoc m:val="undOvr"/>
                                          <m:subHide m:val="1"/>
                                          <m:supHide m:val="1"/>
                                          <m:ctrlPr>
                                            <w:rPr>
                                              <w:rFonts w:ascii="Cambria Math" w:hAnsi="Cambria Math"/>
                                              <w:i/>
                                              <w:color w:val="000000" w:themeColor="text1"/>
                                              <w:sz w:val="18"/>
                                              <w:lang w:val="nl-NL"/>
                                            </w:rPr>
                                          </m:ctrlPr>
                                        </m:naryPr>
                                        <m:sub/>
                                        <m:sup/>
                                        <m:e>
                                          <m:r>
                                            <w:rPr>
                                              <w:rFonts w:ascii="Cambria Math" w:hAnsi="Cambria Math"/>
                                              <w:color w:val="000000" w:themeColor="text1"/>
                                              <w:sz w:val="18"/>
                                            </w:rPr>
                                            <m:t>β</m:t>
                                          </m:r>
                                          <m:sSub>
                                            <m:sSubPr>
                                              <m:ctrlPr>
                                                <w:rPr>
                                                  <w:rFonts w:ascii="Cambria Math" w:hAnsi="Cambria Math"/>
                                                  <w:i/>
                                                  <w:color w:val="000000" w:themeColor="text1"/>
                                                  <w:sz w:val="18"/>
                                                  <w:lang w:val="nl-NL"/>
                                                </w:rPr>
                                              </m:ctrlPr>
                                            </m:sSubPr>
                                            <m:e>
                                              <m:r>
                                                <w:rPr>
                                                  <w:rFonts w:ascii="Cambria Math" w:hAnsi="Cambria Math"/>
                                                  <w:color w:val="000000" w:themeColor="text1"/>
                                                  <w:sz w:val="18"/>
                                                </w:rPr>
                                                <m:t>x-x</m:t>
                                              </m:r>
                                            </m:e>
                                            <m:sub>
                                              <m:r>
                                                <w:rPr>
                                                  <w:rFonts w:ascii="Cambria Math" w:hAnsi="Cambria Math"/>
                                                  <w:color w:val="000000" w:themeColor="text1"/>
                                                  <w:sz w:val="18"/>
                                                </w:rPr>
                                                <m:t>cen</m:t>
                                              </m:r>
                                            </m:sub>
                                          </m:sSub>
                                          <m:r>
                                            <w:rPr>
                                              <w:rFonts w:ascii="Cambria Math" w:hAnsi="Cambria Math"/>
                                              <w:color w:val="000000" w:themeColor="text1"/>
                                              <w:sz w:val="18"/>
                                            </w:rPr>
                                            <m:t>-0.0929)</m:t>
                                          </m:r>
                                        </m:e>
                                      </m:nary>
                                    </m:sup>
                                  </m:sSup>
                                </m:oMath>
                              </m:oMathPara>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r w:rsidRPr="00BC1C76">
                                <w:rPr>
                                  <w:rFonts w:ascii="Segoe UI Semilight" w:hAnsi="Segoe UI Semilight" w:cs="Segoe UI Semilight"/>
                                  <w:color w:val="000000" w:themeColor="text1"/>
                                  <w:sz w:val="14"/>
                                  <w:lang w:val="en-US"/>
                                </w:rPr>
                                <w:t>(B) Use rescaling factors to</w:t>
                              </w:r>
                              <w:r>
                                <w:rPr>
                                  <w:rFonts w:ascii="Segoe UI Semilight" w:hAnsi="Segoe UI Semilight" w:cs="Segoe UI Semilight"/>
                                  <w:color w:val="000000" w:themeColor="text1"/>
                                  <w:sz w:val="14"/>
                                  <w:lang w:val="en-US"/>
                                </w:rPr>
                                <w:t xml:space="preserve"> estimate the recalibrated risk:</w:t>
                              </w:r>
                            </w:p>
                            <w:p w:rsidR="00795EEF" w:rsidRPr="00BC1C76" w:rsidRDefault="00795EEF" w:rsidP="00A91FDB">
                              <w:pPr>
                                <w:rPr>
                                  <w:color w:val="000000" w:themeColor="text1"/>
                                  <w:sz w:val="18"/>
                                </w:rPr>
                              </w:pPr>
                              <m:oMathPara>
                                <m:oMath>
                                  <m:sSub>
                                    <m:sSubPr>
                                      <m:ctrlPr>
                                        <w:rPr>
                                          <w:rFonts w:ascii="Cambria Math" w:hAnsi="Cambria Math"/>
                                          <w:i/>
                                          <w:color w:val="000000" w:themeColor="text1"/>
                                          <w:sz w:val="18"/>
                                          <w:lang w:val="nl-NL"/>
                                        </w:rPr>
                                      </m:ctrlPr>
                                    </m:sSubPr>
                                    <m:e>
                                      <m:r>
                                        <w:rPr>
                                          <w:rFonts w:ascii="Cambria Math" w:hAnsi="Cambria Math"/>
                                          <w:color w:val="00B050"/>
                                          <w:sz w:val="18"/>
                                        </w:rPr>
                                        <m:t>θ</m:t>
                                      </m:r>
                                    </m:e>
                                    <m:sub>
                                      <m:r>
                                        <w:rPr>
                                          <w:rFonts w:ascii="Cambria Math" w:hAnsi="Cambria Math"/>
                                          <w:color w:val="00B050"/>
                                          <w:sz w:val="18"/>
                                        </w:rPr>
                                        <m:t>newpred</m:t>
                                      </m:r>
                                    </m:sub>
                                  </m:sSub>
                                  <m:r>
                                    <w:rPr>
                                      <w:rFonts w:ascii="Cambria Math" w:hAnsi="Cambria Math"/>
                                      <w:color w:val="000000" w:themeColor="text1"/>
                                      <w:sz w:val="18"/>
                                    </w:rPr>
                                    <m:t>=1-</m:t>
                                  </m:r>
                                  <m:r>
                                    <m:rPr>
                                      <m:sty m:val="p"/>
                                    </m:rPr>
                                    <w:rPr>
                                      <w:rFonts w:ascii="Cambria Math" w:hAnsi="Cambria Math"/>
                                      <w:color w:val="000000" w:themeColor="text1"/>
                                      <w:sz w:val="18"/>
                                    </w:rPr>
                                    <m:t>exp⁡</m:t>
                                  </m:r>
                                  <m:r>
                                    <w:rPr>
                                      <w:rFonts w:ascii="Cambria Math" w:hAnsi="Cambria Math"/>
                                      <w:color w:val="000000" w:themeColor="text1"/>
                                      <w:sz w:val="18"/>
                                    </w:rPr>
                                    <m:t>(-</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exp</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Scale1+Scale2×</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ln</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ln</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1-</m:t>
                                                          </m:r>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m:t>
                                                              </m:r>
                                                            </m:sub>
                                                          </m:sSub>
                                                          <m:r>
                                                            <w:rPr>
                                                              <w:rFonts w:ascii="Cambria Math" w:hAnsi="Cambria Math"/>
                                                              <w:color w:val="000000" w:themeColor="text1"/>
                                                              <w:sz w:val="18"/>
                                                              <w:lang w:val="nl-NL"/>
                                                            </w:rPr>
                                                            <m:t>)</m:t>
                                                          </m:r>
                                                          <m:ctrlPr>
                                                            <w:rPr>
                                                              <w:rFonts w:ascii="Cambria Math" w:hAnsi="Cambria Math"/>
                                                              <w:i/>
                                                              <w:color w:val="000000" w:themeColor="text1"/>
                                                              <w:sz w:val="18"/>
                                                              <w:lang w:val="nl-NL"/>
                                                            </w:rPr>
                                                          </m:ctrlPr>
                                                        </m:e>
                                                      </m:d>
                                                    </m:e>
                                                  </m:func>
                                                  <m:ctrlPr>
                                                    <w:rPr>
                                                      <w:rFonts w:ascii="Cambria Math" w:hAnsi="Cambria Math"/>
                                                      <w:i/>
                                                      <w:color w:val="000000" w:themeColor="text1"/>
                                                      <w:sz w:val="18"/>
                                                      <w:lang w:val="nl-NL"/>
                                                    </w:rPr>
                                                  </m:ctrlPr>
                                                </m:e>
                                              </m:d>
                                            </m:e>
                                          </m:func>
                                          <m:ctrlPr>
                                            <w:rPr>
                                              <w:rFonts w:ascii="Cambria Math" w:hAnsi="Cambria Math"/>
                                              <w:i/>
                                              <w:color w:val="000000" w:themeColor="text1"/>
                                              <w:sz w:val="18"/>
                                              <w:lang w:val="nl-NL"/>
                                            </w:rPr>
                                          </m:ctrlPr>
                                        </m:e>
                                      </m:d>
                                    </m:e>
                                  </m:func>
                                </m:oMath>
                              </m:oMathPara>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sz w:val="14"/>
                                  <w:lang w:val="en-US"/>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 name="Rechte verbindingslijn met pijl 60"/>
                        <wps:cNvCnPr/>
                        <wps:spPr>
                          <a:xfrm>
                            <a:off x="3597326" y="4793818"/>
                            <a:ext cx="3402" cy="37355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1" name="Rechthoek 61"/>
                        <wps:cNvSpPr/>
                        <wps:spPr>
                          <a:xfrm>
                            <a:off x="0" y="5143488"/>
                            <a:ext cx="1913255" cy="1400187"/>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 xml:space="preserve">Using rescaling factors to give a </w:t>
                              </w:r>
                              <w:r w:rsidRPr="00BC1C76">
                                <w:rPr>
                                  <w:rFonts w:ascii="Segoe UI Semilight" w:eastAsia="Times New Roman" w:hAnsi="Segoe UI Semilight" w:cs="Segoe UI Semilight"/>
                                  <w:color w:val="00B050"/>
                                  <w:sz w:val="15"/>
                                  <w:szCs w:val="15"/>
                                  <w:lang w:val="en-US"/>
                                </w:rPr>
                                <w:t>recalibrated 10-year risk</w:t>
                              </w:r>
                              <w:r w:rsidRPr="00BC1C76">
                                <w:rPr>
                                  <w:rFonts w:ascii="Segoe UI Semilight" w:eastAsia="Times New Roman" w:hAnsi="Segoe UI Semilight" w:cs="Segoe UI Semilight"/>
                                  <w:color w:val="000000"/>
                                  <w:sz w:val="15"/>
                                  <w:szCs w:val="15"/>
                                  <w:lang w:val="en-US"/>
                                </w:rPr>
                                <w:t xml:space="preserve"> estimate for each new individual/combination of risk factors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Rechthoek 62"/>
                        <wps:cNvSpPr/>
                        <wps:spPr>
                          <a:xfrm>
                            <a:off x="5464810" y="4875825"/>
                            <a:ext cx="1962150" cy="18465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95EEF"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Pr>
                                  <w:rFonts w:ascii="Segoe UI Semilight" w:eastAsia="Times New Roman" w:hAnsi="Segoe UI Semilight" w:cs="Segoe UI Semilight"/>
                                  <w:color w:val="000000"/>
                                  <w:sz w:val="15"/>
                                  <w:szCs w:val="15"/>
                                  <w:lang w:val="en-US"/>
                                </w:rPr>
                                <w:t>β = SCORE2-OP coefficients</w:t>
                              </w:r>
                            </w:p>
                            <w:p w:rsidR="00795EEF" w:rsidRPr="00BC1C76" w:rsidRDefault="00795EEF" w:rsidP="00A91FDB">
                              <w:pPr>
                                <w:pStyle w:val="Normaalweb"/>
                                <w:spacing w:before="0" w:beforeAutospacing="0" w:after="0" w:afterAutospacing="0" w:line="252" w:lineRule="auto"/>
                                <w:rPr>
                                  <w:sz w:val="15"/>
                                  <w:szCs w:val="15"/>
                                  <w:lang w:val="en-US"/>
                                </w:rPr>
                              </w:pPr>
                              <w:r>
                                <w:rPr>
                                  <w:rFonts w:ascii="Segoe UI Semilight" w:eastAsia="Times New Roman" w:hAnsi="Segoe UI Semilight" w:cs="Segoe UI Semilight"/>
                                  <w:color w:val="000000"/>
                                  <w:sz w:val="15"/>
                                  <w:szCs w:val="15"/>
                                  <w:lang w:val="en-US"/>
                                </w:rPr>
                                <w:t>x are the risk factor values, either for a new individual (when using an online calculator) or for a specific entry on the risk charts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BB61581" id="Papier 53" o:spid="_x0000_s1026" editas="canvas" style="width:584.8pt;height:529.55pt;mso-position-horizontal-relative:char;mso-position-vertical-relative:line" coordsize="74269,672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4269;height:67246;visibility:visible;mso-wrap-style:square">
                  <v:fill o:detectmouseclick="t"/>
                  <v:path o:connecttype="none"/>
                </v:shape>
                <v:rect id="Rechthoek 18" o:spid="_x0000_s1028" style="position:absolute;left:17543;top:6899;width:36360;height:4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rsidR="00795EEF" w:rsidRPr="00DC7FC3" w:rsidRDefault="00795EEF" w:rsidP="00A91FDB">
                        <w:pPr>
                          <w:rPr>
                            <w:color w:val="000000" w:themeColor="text1"/>
                            <w:sz w:val="16"/>
                          </w:rPr>
                        </w:pPr>
                        <m:oMathPara>
                          <m:oMath>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pred,agegroup</m:t>
                                </m:r>
                              </m:sub>
                            </m:sSub>
                            <m:r>
                              <w:rPr>
                                <w:rFonts w:ascii="Cambria Math" w:hAnsi="Cambria Math"/>
                                <w:color w:val="000000" w:themeColor="text1"/>
                                <w:sz w:val="18"/>
                              </w:rPr>
                              <m:t>=1-</m:t>
                            </m:r>
                            <m:sSup>
                              <m:sSupPr>
                                <m:ctrlPr>
                                  <w:rPr>
                                    <w:rFonts w:ascii="Cambria Math" w:hAnsi="Cambria Math"/>
                                    <w:i/>
                                    <w:color w:val="000000" w:themeColor="text1"/>
                                    <w:sz w:val="18"/>
                                    <w:lang w:val="nl-NL"/>
                                  </w:rPr>
                                </m:ctrlPr>
                              </m:sSupPr>
                              <m:e>
                                <m:r>
                                  <w:rPr>
                                    <w:rFonts w:ascii="Cambria Math" w:hAnsi="Cambria Math"/>
                                    <w:color w:val="000000" w:themeColor="text1"/>
                                    <w:sz w:val="18"/>
                                  </w:rPr>
                                  <m:t>0.7576</m:t>
                                </m:r>
                              </m:e>
                              <m:sup>
                                <m:r>
                                  <m:rPr>
                                    <m:sty m:val="p"/>
                                  </m:rPr>
                                  <w:rPr>
                                    <w:rFonts w:ascii="Cambria Math" w:hAnsi="Cambria Math"/>
                                    <w:color w:val="000000" w:themeColor="text1"/>
                                    <w:sz w:val="18"/>
                                  </w:rPr>
                                  <m:t>exp⁡</m:t>
                                </m:r>
                                <m:r>
                                  <w:rPr>
                                    <w:rFonts w:ascii="Cambria Math" w:hAnsi="Cambria Math"/>
                                    <w:color w:val="000000" w:themeColor="text1"/>
                                    <w:sz w:val="18"/>
                                  </w:rPr>
                                  <m:t>(</m:t>
                                </m:r>
                                <m:nary>
                                  <m:naryPr>
                                    <m:chr m:val="∑"/>
                                    <m:limLoc m:val="undOvr"/>
                                    <m:subHide m:val="1"/>
                                    <m:supHide m:val="1"/>
                                    <m:ctrlPr>
                                      <w:rPr>
                                        <w:rFonts w:ascii="Cambria Math" w:hAnsi="Cambria Math"/>
                                        <w:i/>
                                        <w:color w:val="000000" w:themeColor="text1"/>
                                        <w:sz w:val="18"/>
                                        <w:lang w:val="nl-NL"/>
                                      </w:rPr>
                                    </m:ctrlPr>
                                  </m:naryPr>
                                  <m:sub/>
                                  <m:sup/>
                                  <m:e>
                                    <m:r>
                                      <w:rPr>
                                        <w:rFonts w:ascii="Cambria Math" w:hAnsi="Cambria Math"/>
                                        <w:color w:val="000000" w:themeColor="text1"/>
                                        <w:sz w:val="18"/>
                                      </w:rPr>
                                      <m:t>β</m:t>
                                    </m:r>
                                    <m:sSub>
                                      <m:sSubPr>
                                        <m:ctrlPr>
                                          <w:rPr>
                                            <w:rFonts w:ascii="Cambria Math" w:hAnsi="Cambria Math"/>
                                            <w:i/>
                                            <w:color w:val="000000" w:themeColor="text1"/>
                                            <w:sz w:val="18"/>
                                            <w:lang w:val="nl-NL"/>
                                          </w:rPr>
                                        </m:ctrlPr>
                                      </m:sSubPr>
                                      <m:e>
                                        <m:r>
                                          <w:rPr>
                                            <w:rFonts w:ascii="Cambria Math" w:hAnsi="Cambria Math"/>
                                            <w:color w:val="000000" w:themeColor="text1"/>
                                            <w:sz w:val="18"/>
                                          </w:rPr>
                                          <m:t>x-x</m:t>
                                        </m:r>
                                      </m:e>
                                      <m:sub>
                                        <m:r>
                                          <w:rPr>
                                            <w:rFonts w:ascii="Cambria Math" w:hAnsi="Cambria Math"/>
                                            <w:color w:val="000000" w:themeColor="text1"/>
                                            <w:sz w:val="18"/>
                                          </w:rPr>
                                          <m:t>cen</m:t>
                                        </m:r>
                                      </m:sub>
                                    </m:sSub>
                                    <m:r>
                                      <w:rPr>
                                        <w:rFonts w:ascii="Cambria Math" w:hAnsi="Cambria Math"/>
                                        <w:color w:val="000000" w:themeColor="text1"/>
                                        <w:sz w:val="18"/>
                                      </w:rPr>
                                      <m:t>-0.0929)</m:t>
                                    </m:r>
                                  </m:e>
                                </m:nary>
                              </m:sup>
                            </m:sSup>
                          </m:oMath>
                        </m:oMathPara>
                      </w:p>
                    </w:txbxContent>
                  </v:textbox>
                </v:rect>
                <v:rect id="Rechthoek 34" o:spid="_x0000_s1029" style="position:absolute;top:5667;width:18075;height:8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rsidR="00795EEF" w:rsidRPr="00DC7FC3" w:rsidRDefault="00795EEF" w:rsidP="00A91FDB">
                        <w:pPr>
                          <w:pStyle w:val="Normaalweb"/>
                          <w:spacing w:before="0" w:beforeAutospacing="0" w:after="160" w:afterAutospacing="0" w:line="256" w:lineRule="auto"/>
                          <w:rPr>
                            <w:rFonts w:ascii="Segoe UI Semilight" w:hAnsi="Segoe UI Semilight" w:cs="Segoe UI Semilight"/>
                            <w:color w:val="000000" w:themeColor="text1"/>
                            <w:sz w:val="15"/>
                            <w:szCs w:val="15"/>
                            <w:lang w:val="en-US"/>
                          </w:rPr>
                        </w:pPr>
                        <w:r w:rsidRPr="00DC7FC3">
                          <w:rPr>
                            <w:rFonts w:ascii="Segoe UI Semilight" w:hAnsi="Segoe UI Semilight" w:cs="Segoe UI Semilight"/>
                            <w:color w:val="000000" w:themeColor="text1"/>
                            <w:sz w:val="15"/>
                            <w:szCs w:val="15"/>
                            <w:lang w:val="en-US"/>
                          </w:rPr>
                          <w:t xml:space="preserve">Use population risk factor values to calculate a </w:t>
                        </w:r>
                        <w:r w:rsidRPr="00DC7FC3">
                          <w:rPr>
                            <w:rFonts w:ascii="Segoe UI Semilight" w:hAnsi="Segoe UI Semilight" w:cs="Segoe UI Semilight"/>
                            <w:color w:val="FF0000"/>
                            <w:sz w:val="15"/>
                            <w:szCs w:val="15"/>
                            <w:lang w:val="en-US"/>
                          </w:rPr>
                          <w:t xml:space="preserve">predicted risk </w:t>
                        </w:r>
                        <w:r w:rsidRPr="00DC7FC3">
                          <w:rPr>
                            <w:rFonts w:ascii="Segoe UI Semilight" w:hAnsi="Segoe UI Semilight" w:cs="Segoe UI Semilight"/>
                            <w:color w:val="000000" w:themeColor="text1"/>
                            <w:sz w:val="15"/>
                            <w:szCs w:val="15"/>
                            <w:lang w:val="en-US"/>
                          </w:rPr>
                          <w:t>for each age group in the target population using the original equation</w:t>
                        </w:r>
                      </w:p>
                    </w:txbxContent>
                  </v:textbox>
                </v:rect>
                <v:rect id="Rechthoek 35" o:spid="_x0000_s1030" style="position:absolute;left:53375;top:4301;width:20482;height:158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" filled="f" stroked="f" strokeweight="1pt">
                  <v:textbox>
                    <w:txbxContent>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rPr>
                          <w:t>θ</w:t>
                        </w:r>
                        <w:r w:rsidRPr="00DC7FC3">
                          <w:rPr>
                            <w:rFonts w:ascii="Segoe UI Semilight" w:eastAsia="Times New Roman" w:hAnsi="Segoe UI Semilight" w:cs="Segoe UI Semilight"/>
                            <w:color w:val="000000"/>
                            <w:sz w:val="15"/>
                            <w:szCs w:val="15"/>
                            <w:lang w:val="en-US"/>
                          </w:rPr>
                          <w:t xml:space="preserve"> = 10 year CVD risk</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rPr>
                          <w:t>β</w:t>
                        </w:r>
                        <w:r w:rsidRPr="00DC7FC3">
                          <w:rPr>
                            <w:rFonts w:ascii="Segoe UI Semilight" w:eastAsia="Times New Roman" w:hAnsi="Segoe UI Semilight" w:cs="Segoe UI Semilight"/>
                            <w:color w:val="000000"/>
                            <w:sz w:val="15"/>
                            <w:szCs w:val="15"/>
                            <w:lang w:val="en-US"/>
                          </w:rPr>
                          <w:t xml:space="preserve"> = </w:t>
                        </w:r>
                        <w:r>
                          <w:rPr>
                            <w:rFonts w:ascii="Segoe UI Semilight" w:eastAsia="Times New Roman" w:hAnsi="Segoe UI Semilight" w:cs="Segoe UI Semilight"/>
                            <w:color w:val="000000"/>
                            <w:sz w:val="15"/>
                            <w:szCs w:val="15"/>
                            <w:lang w:val="en-US"/>
                          </w:rPr>
                          <w:t>SCORE2-OP</w:t>
                        </w:r>
                        <w:r w:rsidRPr="00DC7FC3">
                          <w:rPr>
                            <w:rFonts w:ascii="Segoe UI Semilight" w:eastAsia="Times New Roman" w:hAnsi="Segoe UI Semilight" w:cs="Segoe UI Semilight"/>
                            <w:color w:val="000000"/>
                            <w:sz w:val="15"/>
                            <w:szCs w:val="15"/>
                            <w:lang w:val="en-US"/>
                          </w:rPr>
                          <w:t xml:space="preserve"> coefficients</w:t>
                        </w:r>
                      </w:p>
                      <w:p w:rsidR="00795EEF" w:rsidRPr="00BC1C76"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x= age group specific mean risk factor values in the target population</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x</w:t>
                        </w:r>
                        <w:r w:rsidRPr="00BC1C76">
                          <w:rPr>
                            <w:rFonts w:ascii="Segoe UI Semilight" w:eastAsia="Times New Roman" w:hAnsi="Segoe UI Semilight" w:cs="Segoe UI Semilight"/>
                            <w:color w:val="000000"/>
                            <w:sz w:val="15"/>
                            <w:szCs w:val="15"/>
                            <w:vertAlign w:val="subscript"/>
                            <w:lang w:val="en-US"/>
                          </w:rPr>
                          <w:t>cen</w:t>
                        </w:r>
                        <w:r w:rsidRPr="00BC1C76">
                          <w:rPr>
                            <w:rFonts w:ascii="Segoe UI Semilight" w:eastAsia="Times New Roman" w:hAnsi="Segoe UI Semilight" w:cs="Segoe UI Semilight"/>
                            <w:color w:val="000000"/>
                            <w:sz w:val="15"/>
                            <w:szCs w:val="15"/>
                            <w:lang w:val="en-US"/>
                          </w:rPr>
                          <w:t xml:space="preserve"> = </w:t>
                        </w:r>
                        <w:r>
                          <w:rPr>
                            <w:rFonts w:ascii="Segoe UI Semilight" w:eastAsia="Times New Roman" w:hAnsi="Segoe UI Semilight" w:cs="Segoe UI Semilight"/>
                            <w:color w:val="000000"/>
                            <w:sz w:val="15"/>
                            <w:szCs w:val="15"/>
                            <w:lang w:val="en-US"/>
                          </w:rPr>
                          <w:t>values at which each risk factor was centered in SCORE2-OP</w:t>
                        </w:r>
                      </w:p>
                      <w:p w:rsidR="00795EEF" w:rsidRPr="00DC7FC3" w:rsidRDefault="00795EEF" w:rsidP="00A91FDB">
                        <w:pPr>
                          <w:pStyle w:val="Normaalweb"/>
                          <w:spacing w:before="0" w:beforeAutospacing="0" w:after="0" w:afterAutospacing="0" w:line="254" w:lineRule="auto"/>
                          <w:rPr>
                            <w:rFonts w:ascii="Segoe UI Semilight" w:eastAsia="Times New Roman" w:hAnsi="Segoe UI Semilight" w:cs="Segoe UI Semilight"/>
                            <w:color w:val="000000"/>
                            <w:sz w:val="15"/>
                            <w:szCs w:val="15"/>
                            <w:lang w:val="en-US"/>
                          </w:rPr>
                        </w:pPr>
                        <w:r w:rsidRPr="00DC7FC3">
                          <w:rPr>
                            <w:rFonts w:ascii="Segoe UI Semilight" w:eastAsia="Times New Roman" w:hAnsi="Segoe UI Semilight" w:cs="Segoe UI Semilight"/>
                            <w:color w:val="000000"/>
                            <w:sz w:val="15"/>
                            <w:szCs w:val="15"/>
                            <w:lang w:val="en-US"/>
                          </w:rPr>
                          <w:t>0.7669 = the 10-year basel</w:t>
                        </w:r>
                        <w:r>
                          <w:rPr>
                            <w:rFonts w:ascii="Segoe UI Semilight" w:eastAsia="Times New Roman" w:hAnsi="Segoe UI Semilight" w:cs="Segoe UI Semilight"/>
                            <w:color w:val="000000"/>
                            <w:sz w:val="15"/>
                            <w:szCs w:val="15"/>
                            <w:lang w:val="en-US"/>
                          </w:rPr>
                          <w:t>ine survival</w:t>
                        </w:r>
                      </w:p>
                      <w:p w:rsidR="00795EEF" w:rsidRPr="00DC7FC3" w:rsidRDefault="00795EEF" w:rsidP="00A91FDB">
                        <w:pPr>
                          <w:pStyle w:val="Normaalweb"/>
                          <w:spacing w:before="0" w:beforeAutospacing="0" w:after="0" w:afterAutospacing="0" w:line="254" w:lineRule="auto"/>
                          <w:rPr>
                            <w:sz w:val="15"/>
                            <w:szCs w:val="15"/>
                            <w:lang w:val="en-US"/>
                          </w:rPr>
                        </w:pPr>
                        <w:r w:rsidRPr="00DC7FC3">
                          <w:rPr>
                            <w:rFonts w:ascii="Segoe UI Semilight" w:eastAsia="Times New Roman" w:hAnsi="Segoe UI Semilight" w:cs="Segoe UI Semilight"/>
                            <w:color w:val="000000"/>
                            <w:sz w:val="15"/>
                            <w:szCs w:val="15"/>
                            <w:lang w:val="en-US"/>
                          </w:rPr>
                          <w:t xml:space="preserve">0.1111 = linear predictor at mean risk factor levels for </w:t>
                        </w:r>
                        <w:r>
                          <w:rPr>
                            <w:rFonts w:ascii="Segoe UI Semilight" w:eastAsia="Times New Roman" w:hAnsi="Segoe UI Semilight" w:cs="Segoe UI Semilight"/>
                            <w:color w:val="000000"/>
                            <w:sz w:val="15"/>
                            <w:szCs w:val="15"/>
                            <w:lang w:val="en-US"/>
                          </w:rPr>
                          <w:t>SCORE2-OP</w:t>
                        </w:r>
                      </w:p>
                    </w:txbxContent>
                  </v:textbox>
                </v:rect>
                <v:shapetype id="_x0000_t32" coordsize="21600,21600" o:spt="32" o:oned="t" path="m,l21600,21600e" filled="f">
                  <v:path arrowok="t" fillok="f" o:connecttype="none"/>
                  <o:lock v:ext="edit" shapetype="t"/>
                </v:shapetype>
                <v:shape id="Rechte verbindingslijn met pijl 36" o:spid="_x0000_s1031" type="#_x0000_t32" style="position:absolute;left:35735;top:11300;width:3;height:89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Ojt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txh+v4QfILc/AAAA//8DAFBLAQItABQABgAIAAAAIQDb4fbL7gAAAIUBAAATAAAAAAAAAAAA&#10;AAAAAAAAAABbQ29udGVudF9UeXBlc10ueG1sUEsBAi0AFAAGAAgAAAAhAFr0LFu/AAAAFQEAAAsA&#10;AAAAAAAAAAAAAAAAHwEAAF9yZWxzLy5yZWxzUEsBAi0AFAAGAAgAAAAhAJl46O3EAAAA2wAAAA8A&#10;AAAAAAAAAAAAAAAABwIAAGRycy9kb3ducmV2LnhtbFBLBQYAAAAAAwADALcAAAD4AgAAAAA=&#10;" strokecolor="black [3200]" strokeweight=".5pt">
                  <v:stroke endarrow="block" joinstyle="miter"/>
                </v:shape>
                <v:rect id="Rechthoek 37" o:spid="_x0000_s1032" style="position:absolute;left:17543;top:20376;width:36360;height:43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rsidR="00795EEF" w:rsidRPr="00DC7FC3" w:rsidRDefault="00795EEF" w:rsidP="00A91FDB">
                        <w:pPr>
                          <w:pStyle w:val="Normaalweb"/>
                          <w:spacing w:before="0" w:beforeAutospacing="0" w:after="160" w:afterAutospacing="0" w:line="256" w:lineRule="auto"/>
                          <w:rPr>
                            <w:color w:val="0070C0"/>
                            <w:sz w:val="18"/>
                          </w:rPr>
                        </w:pPr>
                        <m:oMathPara>
                          <m:oMathParaPr>
                            <m:jc m:val="centerGroup"/>
                          </m:oMathParaPr>
                          <m:oMath>
                            <m:sSub>
                              <m:sSubPr>
                                <m:ctrlPr>
                                  <w:rPr>
                                    <w:rFonts w:ascii="Cambria Math" w:eastAsia="Calibri" w:hAnsi="Cambria Math"/>
                                    <w:i/>
                                    <w:iCs/>
                                    <w:color w:val="0070C0"/>
                                    <w:sz w:val="18"/>
                                    <w:szCs w:val="22"/>
                                  </w:rPr>
                                </m:ctrlPr>
                              </m:sSubPr>
                              <m:e>
                                <m:r>
                                  <w:rPr>
                                    <w:rFonts w:ascii="Cambria Math" w:eastAsia="Calibri" w:hAnsi="Cambria Math"/>
                                    <w:color w:val="0070C0"/>
                                    <w:sz w:val="18"/>
                                    <w:szCs w:val="22"/>
                                  </w:rPr>
                                  <m:t>θ</m:t>
                                </m:r>
                              </m:e>
                              <m:sub>
                                <m:r>
                                  <w:rPr>
                                    <w:rFonts w:ascii="Cambria Math" w:eastAsia="Calibri" w:hAnsi="Cambria Math"/>
                                    <w:color w:val="0070C0"/>
                                    <w:sz w:val="18"/>
                                    <w:szCs w:val="22"/>
                                  </w:rPr>
                                  <m:t>obs, agegroup</m:t>
                                </m:r>
                              </m:sub>
                            </m:sSub>
                          </m:oMath>
                        </m:oMathPara>
                      </w:p>
                    </w:txbxContent>
                  </v:textbox>
                </v:rect>
                <v:rect id="Rechthoek 38" o:spid="_x0000_s1033" style="position:absolute;top:17445;width:18394;height:10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0QOvwAAANsAAAAPAAAAZHJzL2Rvd25yZXYueG1sRE/Pa8Iw&#10;FL4P/B/CE7zNdB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CpF0QOvwAAANsAAAAPAAAAAAAA&#10;AAAAAAAAAAcCAABkcnMvZG93bnJldi54bWxQSwUGAAAAAAMAAwC3AAAA8wIAAAAA&#10;" filled="f" stroked="f" strokeweight="1pt">
                  <v:textbox>
                    <w:txbxContent>
                      <w:p w:rsidR="00795EEF" w:rsidRPr="00DC7FC3" w:rsidRDefault="00795EEF" w:rsidP="00A91FDB">
                        <w:pPr>
                          <w:pStyle w:val="Normaalweb"/>
                          <w:spacing w:before="0" w:beforeAutospacing="0" w:after="0" w:afterAutospacing="0" w:line="252" w:lineRule="auto"/>
                          <w:rPr>
                            <w:sz w:val="15"/>
                            <w:szCs w:val="15"/>
                            <w:lang w:val="en-US"/>
                          </w:rPr>
                        </w:pPr>
                        <w:r w:rsidRPr="00DC7FC3">
                          <w:rPr>
                            <w:rFonts w:ascii="Segoe UI Semilight" w:eastAsia="Times New Roman" w:hAnsi="Segoe UI Semilight" w:cs="Segoe UI Semilight"/>
                            <w:color w:val="000000"/>
                            <w:sz w:val="15"/>
                            <w:szCs w:val="15"/>
                            <w:lang w:val="en-US"/>
                          </w:rPr>
                          <w:t xml:space="preserve">Use age group specific mortality statistics from the target population and relevant multipliers to estimate </w:t>
                        </w:r>
                        <w:r w:rsidRPr="00DC7FC3">
                          <w:rPr>
                            <w:rFonts w:ascii="Segoe UI Semilight" w:eastAsia="Times New Roman" w:hAnsi="Segoe UI Semilight" w:cs="Segoe UI Semilight"/>
                            <w:color w:val="0070C0"/>
                            <w:sz w:val="15"/>
                            <w:szCs w:val="15"/>
                            <w:lang w:val="en-US"/>
                          </w:rPr>
                          <w:t>observed 10-year risk</w:t>
                        </w:r>
                        <w:r w:rsidRPr="00DC7FC3">
                          <w:rPr>
                            <w:rFonts w:ascii="Segoe UI Semilight" w:eastAsia="Times New Roman" w:hAnsi="Segoe UI Semilight" w:cs="Segoe UI Semilight"/>
                            <w:color w:val="000000"/>
                            <w:sz w:val="15"/>
                            <w:szCs w:val="15"/>
                            <w:lang w:val="en-US"/>
                          </w:rPr>
                          <w:t xml:space="preserve"> for each age group</w:t>
                        </w:r>
                      </w:p>
                    </w:txbxContent>
                  </v:textbox>
                </v:rect>
                <v:rect id="Rechthoek 39" o:spid="_x0000_s1034" style="position:absolute;left:53564;top:19138;width:20705;height:6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" filled="f" stroked="f" strokeweight="1pt">
                  <v:textbo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Estimating using lifetable approach and application of multipliers for each age group (supplementary methods</w:t>
                        </w:r>
                        <w:r>
                          <w:rPr>
                            <w:rFonts w:ascii="Segoe UI Semilight" w:eastAsia="Times New Roman" w:hAnsi="Segoe UI Semilight" w:cs="Segoe UI Semilight"/>
                            <w:color w:val="000000"/>
                            <w:sz w:val="15"/>
                            <w:szCs w:val="15"/>
                            <w:lang w:val="en-US"/>
                          </w:rPr>
                          <w:t xml:space="preserve"> 1</w:t>
                        </w:r>
                        <w:r w:rsidRPr="00BC1C76">
                          <w:rPr>
                            <w:rFonts w:ascii="Segoe UI Semilight" w:eastAsia="Times New Roman" w:hAnsi="Segoe UI Semilight" w:cs="Segoe UI Semilight"/>
                            <w:color w:val="000000"/>
                            <w:sz w:val="15"/>
                            <w:szCs w:val="15"/>
                            <w:lang w:val="en-US"/>
                          </w:rPr>
                          <w:t>)</w:t>
                        </w:r>
                      </w:p>
                    </w:txbxContent>
                  </v:textbox>
                </v:rect>
                <v:rect id="Rechthoek 40" o:spid="_x0000_s1035" style="position:absolute;left:18075;top:29317;width:36363;height:18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" filled="f" strokecolor="black [3213]" strokeweight="1pt">
                  <v:textbox>
                    <w:txbxContent>
                      <w:p w:rsidR="00795EEF" w:rsidRPr="00DC7FC3" w:rsidRDefault="00795EEF" w:rsidP="00A91FDB">
                        <w:pPr>
                          <w:pStyle w:val="Normaalweb"/>
                          <w:spacing w:before="0" w:beforeAutospacing="0" w:after="160" w:afterAutospacing="0" w:line="256" w:lineRule="auto"/>
                          <w:rPr>
                            <w:iCs/>
                            <w:color w:val="000000" w:themeColor="text1"/>
                            <w:sz w:val="16"/>
                            <w:szCs w:val="18"/>
                          </w:rPr>
                        </w:pPr>
                        <m:oMathPara>
                          <m:oMath>
                            <m:r>
                              <m:rPr>
                                <m:sty m:val="p"/>
                              </m:rPr>
                              <w:rPr>
                                <w:rFonts w:ascii="Cambria Math" w:eastAsia="Calibri" w:hAnsi="Cambria Math"/>
                                <w:color w:val="000000" w:themeColor="text1"/>
                                <w:sz w:val="16"/>
                                <w:szCs w:val="17"/>
                              </w:rPr>
                              <m:t>ln⁡(-</m:t>
                            </m:r>
                            <m:func>
                              <m:funcPr>
                                <m:ctrlPr>
                                  <w:rPr>
                                    <w:rFonts w:ascii="Cambria Math" w:eastAsia="Calibri" w:hAnsi="Cambria Math"/>
                                    <w:iCs/>
                                    <w:color w:val="000000" w:themeColor="text1"/>
                                    <w:sz w:val="16"/>
                                    <w:szCs w:val="17"/>
                                  </w:rPr>
                                </m:ctrlPr>
                              </m:funcPr>
                              <m:fName>
                                <m:r>
                                  <m:rPr>
                                    <m:sty m:val="p"/>
                                  </m:rPr>
                                  <w:rPr>
                                    <w:rFonts w:ascii="Cambria Math" w:eastAsia="Calibri" w:hAnsi="Cambria Math"/>
                                    <w:color w:val="000000" w:themeColor="text1"/>
                                    <w:sz w:val="16"/>
                                    <w:szCs w:val="17"/>
                                  </w:rPr>
                                  <m:t>ln</m:t>
                                </m:r>
                              </m:fName>
                              <m:e>
                                <m:d>
                                  <m:dPr>
                                    <m:ctrlPr>
                                      <w:rPr>
                                        <w:rFonts w:ascii="Cambria Math" w:eastAsia="Calibri" w:hAnsi="Cambria Math"/>
                                        <w:iCs/>
                                        <w:color w:val="000000" w:themeColor="text1"/>
                                        <w:sz w:val="16"/>
                                        <w:szCs w:val="17"/>
                                      </w:rPr>
                                    </m:ctrlPr>
                                  </m:dPr>
                                  <m:e>
                                    <m:r>
                                      <m:rPr>
                                        <m:sty m:val="p"/>
                                      </m:rPr>
                                      <w:rPr>
                                        <w:rFonts w:ascii="Cambria Math" w:eastAsia="Calibri" w:hAnsi="Cambria Math"/>
                                        <w:color w:val="000000" w:themeColor="text1"/>
                                        <w:sz w:val="16"/>
                                        <w:szCs w:val="17"/>
                                      </w:rPr>
                                      <m:t>1-</m:t>
                                    </m:r>
                                    <m:sSub>
                                      <m:sSubPr>
                                        <m:ctrlPr>
                                          <w:rPr>
                                            <w:rFonts w:ascii="Cambria Math" w:eastAsia="Calibri" w:hAnsi="Cambria Math"/>
                                            <w:i/>
                                            <w:iCs/>
                                            <w:color w:val="0070C0"/>
                                            <w:sz w:val="16"/>
                                            <w:szCs w:val="17"/>
                                          </w:rPr>
                                        </m:ctrlPr>
                                      </m:sSubPr>
                                      <m:e>
                                        <m:r>
                                          <w:rPr>
                                            <w:rFonts w:ascii="Cambria Math" w:eastAsia="Calibri" w:hAnsi="Cambria Math"/>
                                            <w:color w:val="0070C0"/>
                                            <w:sz w:val="16"/>
                                            <w:szCs w:val="17"/>
                                          </w:rPr>
                                          <m:t>θ</m:t>
                                        </m:r>
                                      </m:e>
                                      <m:sub>
                                        <m:r>
                                          <w:rPr>
                                            <w:rFonts w:ascii="Cambria Math" w:eastAsia="Calibri" w:hAnsi="Cambria Math"/>
                                            <w:color w:val="0070C0"/>
                                            <w:sz w:val="16"/>
                                            <w:szCs w:val="17"/>
                                          </w:rPr>
                                          <m:t>obs, agegroup</m:t>
                                        </m:r>
                                      </m:sub>
                                    </m:sSub>
                                    <m:r>
                                      <w:rPr>
                                        <w:rFonts w:ascii="Cambria Math" w:eastAsia="Calibri" w:hAnsi="Cambria Math"/>
                                        <w:color w:val="000000" w:themeColor="text1"/>
                                        <w:sz w:val="16"/>
                                        <w:szCs w:val="17"/>
                                      </w:rPr>
                                      <m:t>)</m:t>
                                    </m:r>
                                    <m:ctrlPr>
                                      <w:rPr>
                                        <w:rFonts w:ascii="Cambria Math" w:eastAsia="Calibri" w:hAnsi="Cambria Math"/>
                                        <w:i/>
                                        <w:iCs/>
                                        <w:color w:val="0070C0"/>
                                        <w:sz w:val="16"/>
                                        <w:szCs w:val="17"/>
                                      </w:rPr>
                                    </m:ctrlPr>
                                  </m:e>
                                </m:d>
                                <m:r>
                                  <w:rPr>
                                    <w:rFonts w:ascii="Cambria Math" w:eastAsia="Calibri" w:hAnsi="Cambria Math"/>
                                    <w:color w:val="000000" w:themeColor="text1"/>
                                    <w:sz w:val="16"/>
                                    <w:szCs w:val="17"/>
                                  </w:rPr>
                                  <m:t xml:space="preserve">=Scale1+Scale2 x </m:t>
                                </m:r>
                                <m:r>
                                  <m:rPr>
                                    <m:sty m:val="p"/>
                                  </m:rPr>
                                  <w:rPr>
                                    <w:rFonts w:ascii="Cambria Math" w:eastAsia="Calibri" w:hAnsi="Cambria Math"/>
                                    <w:color w:val="000000" w:themeColor="text1"/>
                                    <w:sz w:val="16"/>
                                    <w:szCs w:val="17"/>
                                  </w:rPr>
                                  <m:t>ln⁡</m:t>
                                </m:r>
                                <m:r>
                                  <w:rPr>
                                    <w:rFonts w:ascii="Cambria Math" w:eastAsia="Calibri" w:hAnsi="Cambria Math"/>
                                    <w:color w:val="000000" w:themeColor="text1"/>
                                    <w:sz w:val="16"/>
                                    <w:szCs w:val="17"/>
                                  </w:rPr>
                                  <m:t>(-</m:t>
                                </m:r>
                                <m:func>
                                  <m:funcPr>
                                    <m:ctrlPr>
                                      <w:rPr>
                                        <w:rFonts w:ascii="Cambria Math" w:eastAsia="Calibri" w:hAnsi="Cambria Math"/>
                                        <w:iCs/>
                                        <w:color w:val="000000" w:themeColor="text1"/>
                                        <w:sz w:val="16"/>
                                        <w:szCs w:val="17"/>
                                      </w:rPr>
                                    </m:ctrlPr>
                                  </m:funcPr>
                                  <m:fName>
                                    <m:r>
                                      <m:rPr>
                                        <m:sty m:val="p"/>
                                      </m:rPr>
                                      <w:rPr>
                                        <w:rFonts w:ascii="Cambria Math" w:eastAsia="Calibri" w:hAnsi="Cambria Math"/>
                                        <w:color w:val="000000" w:themeColor="text1"/>
                                        <w:sz w:val="16"/>
                                        <w:szCs w:val="17"/>
                                      </w:rPr>
                                      <m:t>ln</m:t>
                                    </m:r>
                                    <m:ctrlPr>
                                      <w:rPr>
                                        <w:rFonts w:ascii="Cambria Math" w:eastAsia="Calibri" w:hAnsi="Cambria Math"/>
                                        <w:i/>
                                        <w:iCs/>
                                        <w:color w:val="000000" w:themeColor="text1"/>
                                        <w:sz w:val="16"/>
                                        <w:szCs w:val="17"/>
                                      </w:rPr>
                                    </m:ctrlPr>
                                  </m:fName>
                                  <m:e>
                                    <m:d>
                                      <m:dPr>
                                        <m:ctrlPr>
                                          <w:rPr>
                                            <w:rFonts w:ascii="Cambria Math" w:eastAsia="Calibri" w:hAnsi="Cambria Math"/>
                                            <w:i/>
                                            <w:iCs/>
                                            <w:color w:val="000000" w:themeColor="text1"/>
                                            <w:sz w:val="16"/>
                                            <w:szCs w:val="17"/>
                                          </w:rPr>
                                        </m:ctrlPr>
                                      </m:dPr>
                                      <m:e>
                                        <m:r>
                                          <w:rPr>
                                            <w:rFonts w:ascii="Cambria Math" w:eastAsia="Calibri" w:hAnsi="Cambria Math"/>
                                            <w:color w:val="000000" w:themeColor="text1"/>
                                            <w:sz w:val="16"/>
                                            <w:szCs w:val="17"/>
                                          </w:rPr>
                                          <m:t xml:space="preserve">1- </m:t>
                                        </m:r>
                                        <m:sSub>
                                          <m:sSubPr>
                                            <m:ctrlPr>
                                              <w:rPr>
                                                <w:rFonts w:ascii="Cambria Math" w:eastAsiaTheme="minorHAnsi" w:hAnsi="Cambria Math" w:cstheme="minorBidi"/>
                                                <w:i/>
                                                <w:color w:val="000000" w:themeColor="text1"/>
                                                <w:sz w:val="16"/>
                                                <w:szCs w:val="17"/>
                                                <w:lang w:eastAsia="en-US"/>
                                              </w:rPr>
                                            </m:ctrlPr>
                                          </m:sSubPr>
                                          <m:e>
                                            <m:r>
                                              <w:rPr>
                                                <w:rFonts w:ascii="Cambria Math" w:hAnsi="Cambria Math"/>
                                                <w:color w:val="FF0000"/>
                                                <w:sz w:val="16"/>
                                                <w:szCs w:val="17"/>
                                              </w:rPr>
                                              <m:t>θ</m:t>
                                            </m:r>
                                          </m:e>
                                          <m:sub>
                                            <m:r>
                                              <w:rPr>
                                                <w:rFonts w:ascii="Cambria Math" w:hAnsi="Cambria Math"/>
                                                <w:color w:val="FF0000"/>
                                                <w:sz w:val="16"/>
                                                <w:szCs w:val="17"/>
                                              </w:rPr>
                                              <m:t>pred,agegroup</m:t>
                                            </m:r>
                                          </m:sub>
                                        </m:sSub>
                                        <m:r>
                                          <w:rPr>
                                            <w:rFonts w:ascii="Cambria Math" w:eastAsiaTheme="minorHAnsi" w:hAnsi="Cambria Math" w:cstheme="minorBidi"/>
                                            <w:color w:val="000000" w:themeColor="text1"/>
                                            <w:sz w:val="16"/>
                                            <w:szCs w:val="17"/>
                                          </w:rPr>
                                          <m:t>)</m:t>
                                        </m:r>
                                        <m:ctrlPr>
                                          <w:rPr>
                                            <w:rFonts w:ascii="Cambria Math" w:eastAsiaTheme="minorHAnsi" w:hAnsi="Cambria Math" w:cstheme="minorBidi"/>
                                            <w:i/>
                                            <w:color w:val="000000" w:themeColor="text1"/>
                                            <w:sz w:val="16"/>
                                            <w:szCs w:val="17"/>
                                          </w:rPr>
                                        </m:ctrlPr>
                                      </m:e>
                                    </m:d>
                                  </m:e>
                                </m:func>
                              </m:e>
                            </m:func>
                          </m:oMath>
                        </m:oMathPara>
                      </w:p>
                      <w:p w:rsidR="00795EEF" w:rsidRPr="00DC7FC3" w:rsidRDefault="00795EEF" w:rsidP="00A91FDB">
                        <w:pPr>
                          <w:pStyle w:val="Normaalweb"/>
                          <w:spacing w:before="0" w:beforeAutospacing="0" w:after="160" w:afterAutospacing="0" w:line="256" w:lineRule="auto"/>
                          <w:ind w:left="426"/>
                          <w:rPr>
                            <w:color w:val="0070C0"/>
                            <w:sz w:val="18"/>
                          </w:rPr>
                        </w:pPr>
                        <w:r w:rsidRPr="00DC7FC3">
                          <w:rPr>
                            <w:noProof/>
                            <w:sz w:val="22"/>
                          </w:rPr>
                          <w:drawing>
                            <wp:inline distT="0" distB="0" distL="0" distR="0" wp14:anchorId="27D15234" wp14:editId="244B5E19">
                              <wp:extent cx="1371600" cy="1286833"/>
                              <wp:effectExtent l="0" t="0" r="0" b="889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374725" cy="1289765"/>
                                      </a:xfrm>
                                      <a:prstGeom prst="rect">
                                        <a:avLst/>
                                      </a:prstGeom>
                                    </pic:spPr>
                                  </pic:pic>
                                </a:graphicData>
                              </a:graphic>
                            </wp:inline>
                          </w:drawing>
                        </w:r>
                      </w:p>
                      <w:p w:rsidR="00795EEF" w:rsidRPr="00DC7FC3" w:rsidRDefault="00795EEF" w:rsidP="00A91FDB">
                        <w:pPr>
                          <w:pStyle w:val="Normaalweb"/>
                          <w:spacing w:before="0" w:beforeAutospacing="0" w:after="160" w:afterAutospacing="0" w:line="256" w:lineRule="auto"/>
                          <w:rPr>
                            <w:color w:val="0070C0"/>
                            <w:sz w:val="18"/>
                          </w:rPr>
                        </w:pPr>
                      </w:p>
                    </w:txbxContent>
                  </v:textbox>
                </v:rect>
                <v:rect id="Rechthoek 41" o:spid="_x0000_s1036" style="position:absolute;left:25299;top:44512;width:9328;height:3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rsidR="00795EEF" w:rsidRPr="00175B62" w:rsidRDefault="00795EEF" w:rsidP="00A91FDB">
                        <w:pPr>
                          <w:pStyle w:val="Normaalweb"/>
                          <w:spacing w:before="0" w:beforeAutospacing="0" w:after="0" w:afterAutospacing="0" w:line="252" w:lineRule="auto"/>
                          <w:rPr>
                            <w:color w:val="FF0000"/>
                          </w:rPr>
                        </w:pPr>
                        <w:r w:rsidRPr="00175B62">
                          <w:rPr>
                            <w:rFonts w:ascii="Segoe UI Semilight" w:eastAsia="Times New Roman" w:hAnsi="Segoe UI Semilight" w:cs="Segoe UI Semilight"/>
                            <w:color w:val="FF0000"/>
                            <w:sz w:val="14"/>
                            <w:szCs w:val="14"/>
                          </w:rPr>
                          <w:t>Predicted</w:t>
                        </w:r>
                        <w:r>
                          <w:rPr>
                            <w:rFonts w:ascii="Segoe UI Semilight" w:eastAsia="Times New Roman" w:hAnsi="Segoe UI Semilight" w:cs="Segoe UI Semilight"/>
                            <w:color w:val="FF0000"/>
                            <w:sz w:val="14"/>
                            <w:szCs w:val="14"/>
                          </w:rPr>
                          <w:t xml:space="preserve"> risk</w:t>
                        </w:r>
                      </w:p>
                    </w:txbxContent>
                  </v:textbox>
                </v:rect>
                <v:rect id="Rechthoek 42" o:spid="_x0000_s1037" style="position:absolute;left:16259;top:35960;width:9322;height:327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" filled="f" stroked="f" strokeweight="1pt">
                  <v:textbox>
                    <w:txbxContent>
                      <w:p w:rsidR="00795EEF" w:rsidRPr="00175B62" w:rsidRDefault="00795EEF" w:rsidP="00A91FDB">
                        <w:pPr>
                          <w:pStyle w:val="Normaalweb"/>
                          <w:spacing w:before="0" w:beforeAutospacing="0" w:after="0" w:afterAutospacing="0" w:line="252" w:lineRule="auto"/>
                          <w:rPr>
                            <w:color w:val="0070C0"/>
                          </w:rPr>
                        </w:pPr>
                        <w:r w:rsidRPr="00175B62">
                          <w:rPr>
                            <w:rFonts w:ascii="Segoe UI Semilight" w:eastAsia="Times New Roman" w:hAnsi="Segoe UI Semilight" w:cs="Segoe UI Semilight"/>
                            <w:color w:val="0070C0"/>
                            <w:sz w:val="14"/>
                            <w:szCs w:val="14"/>
                          </w:rPr>
                          <w:t>Observed risk</w:t>
                        </w:r>
                      </w:p>
                    </w:txbxContent>
                  </v:textbox>
                </v:rect>
                <v:shapetype id="_x0000_t202" coordsize="21600,21600" o:spt="202" path="m,l,21600r21600,l21600,xe">
                  <v:stroke joinstyle="miter"/>
                  <v:path gradientshapeok="t" o:connecttype="rect"/>
                </v:shapetype>
                <v:shape id="Tekstvak 43" o:spid="_x0000_s1038" type="#_x0000_t202" style="position:absolute;left:37851;top:33585;width:15713;height:10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" filled="f" stroked="f" strokeweight=".5pt">
                  <v:textbox>
                    <w:txbxContent>
                      <w:p w:rsidR="00795EEF" w:rsidRPr="00DC7FC3" w:rsidRDefault="00795EEF" w:rsidP="00A91FDB">
                        <w:pPr>
                          <w:spacing w:line="240" w:lineRule="auto"/>
                          <w:rPr>
                            <w:rFonts w:ascii="Segoe UI Semilight" w:hAnsi="Segoe UI Semilight" w:cs="Segoe UI Semilight"/>
                            <w:sz w:val="16"/>
                          </w:rPr>
                        </w:pPr>
                        <w:r w:rsidRPr="00DC7FC3">
                          <w:rPr>
                            <w:rFonts w:ascii="Segoe UI Semilight" w:hAnsi="Segoe UI Semilight" w:cs="Segoe UI Semilight"/>
                            <w:sz w:val="16"/>
                          </w:rPr>
                          <w:t>Each point</w:t>
                        </w:r>
                        <w:r>
                          <w:rPr>
                            <w:rFonts w:ascii="Segoe UI Semilight" w:hAnsi="Segoe UI Semilight" w:cs="Segoe UI Semilight"/>
                            <w:sz w:val="16"/>
                          </w:rPr>
                          <w:t xml:space="preserve"> </w:t>
                        </w:r>
                        <w:r w:rsidRPr="00DC7FC3">
                          <w:rPr>
                            <w:rFonts w:ascii="Segoe UI Semilight" w:hAnsi="Segoe UI Semilight" w:cs="Segoe UI Semilight"/>
                            <w:sz w:val="16"/>
                          </w:rPr>
                          <w:t>represents one age group</w:t>
                        </w:r>
                      </w:p>
                      <w:p w:rsidR="00795EEF" w:rsidRPr="00DC7FC3" w:rsidRDefault="00795EEF" w:rsidP="00A91FDB">
                        <w:pPr>
                          <w:spacing w:line="240" w:lineRule="auto"/>
                          <w:ind w:firstLine="720"/>
                          <w:rPr>
                            <w:rFonts w:ascii="Segoe UI Semilight" w:hAnsi="Segoe UI Semilight" w:cs="Segoe UI Semilight"/>
                            <w:sz w:val="16"/>
                          </w:rPr>
                        </w:pPr>
                        <w:r w:rsidRPr="00DC7FC3">
                          <w:rPr>
                            <w:rFonts w:ascii="Segoe UI Semilight" w:hAnsi="Segoe UI Semilight" w:cs="Segoe UI Semilight"/>
                            <w:sz w:val="16"/>
                          </w:rPr>
                          <w:t>Fitted line</w:t>
                        </w:r>
                      </w:p>
                      <w:p w:rsidR="00795EEF" w:rsidRPr="00DC7FC3" w:rsidRDefault="00795EEF" w:rsidP="00A91FDB">
                        <w:pPr>
                          <w:spacing w:line="240" w:lineRule="auto"/>
                          <w:ind w:firstLine="720"/>
                          <w:rPr>
                            <w:rFonts w:ascii="Segoe UI Semilight" w:hAnsi="Segoe UI Semilight" w:cs="Segoe UI Semilight"/>
                            <w:sz w:val="16"/>
                          </w:rPr>
                        </w:pPr>
                        <w:r w:rsidRPr="00DC7FC3">
                          <w:rPr>
                            <w:rFonts w:ascii="Segoe UI Semilight" w:hAnsi="Segoe UI Semilight" w:cs="Segoe UI Semilight"/>
                            <w:sz w:val="16"/>
                          </w:rPr>
                          <w:t>Line of equality</w:t>
                        </w:r>
                      </w:p>
                      <w:p w:rsidR="00795EEF" w:rsidRPr="00DC7FC3" w:rsidRDefault="00795EEF" w:rsidP="00A91FDB">
                        <w:pPr>
                          <w:spacing w:line="240" w:lineRule="auto"/>
                          <w:rPr>
                            <w:rFonts w:ascii="Segoe UI Semilight" w:hAnsi="Segoe UI Semilight" w:cs="Segoe UI Semilight"/>
                            <w:sz w:val="16"/>
                          </w:rPr>
                        </w:pPr>
                      </w:p>
                    </w:txbxContent>
                  </v:textbox>
                </v:shape>
                <v:line id="Rechte verbindingslijn 44" o:spid="_x0000_s1039" style="position:absolute;visibility:visible;mso-wrap-style:square" from="39372,38818" to="42391,38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" strokecolor="red" strokeweight=".5pt">
                  <v:stroke joinstyle="miter"/>
                </v:line>
                <v:line id="Rechte verbindingslijn 45" o:spid="_x0000_s1040" style="position:absolute;visibility:visible;mso-wrap-style:square" from="39359,41135" to="42375,411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" strokecolor="black [3213]" strokeweight=".5pt">
                  <v:stroke dashstyle="3 1" joinstyle="miter"/>
                </v:line>
                <v:rect id="Rechthoek 46" o:spid="_x0000_s1041" style="position:absolute;top:29318;width:19138;height:18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 xml:space="preserve">Calculate rescaling factors needed to bring </w:t>
                        </w:r>
                        <w:r w:rsidRPr="00BC1C76">
                          <w:rPr>
                            <w:rFonts w:ascii="Segoe UI Semilight" w:eastAsia="Times New Roman" w:hAnsi="Segoe UI Semilight" w:cs="Segoe UI Semilight"/>
                            <w:color w:val="FF0000"/>
                            <w:sz w:val="15"/>
                            <w:szCs w:val="15"/>
                            <w:lang w:val="en-US"/>
                          </w:rPr>
                          <w:t>predicted risks</w:t>
                        </w:r>
                        <w:r w:rsidRPr="00BC1C76">
                          <w:rPr>
                            <w:rFonts w:ascii="Segoe UI Semilight" w:eastAsia="Times New Roman" w:hAnsi="Segoe UI Semilight" w:cs="Segoe UI Semilight"/>
                            <w:color w:val="000000"/>
                            <w:sz w:val="15"/>
                            <w:szCs w:val="15"/>
                            <w:lang w:val="en-US"/>
                          </w:rPr>
                          <w:t xml:space="preserve"> in line with </w:t>
                        </w:r>
                        <w:r w:rsidRPr="00BC1C76">
                          <w:rPr>
                            <w:rFonts w:ascii="Segoe UI Semilight" w:eastAsia="Times New Roman" w:hAnsi="Segoe UI Semilight" w:cs="Segoe UI Semilight"/>
                            <w:color w:val="0070C0"/>
                            <w:sz w:val="15"/>
                            <w:szCs w:val="15"/>
                            <w:lang w:val="en-US"/>
                          </w:rPr>
                          <w:t xml:space="preserve">observed risks </w:t>
                        </w:r>
                        <w:r w:rsidRPr="00BC1C76">
                          <w:rPr>
                            <w:rFonts w:ascii="Segoe UI Semilight" w:eastAsia="Times New Roman" w:hAnsi="Segoe UI Semilight" w:cs="Segoe UI Semilight"/>
                            <w:color w:val="000000"/>
                            <w:sz w:val="15"/>
                            <w:szCs w:val="15"/>
                            <w:lang w:val="en-US"/>
                          </w:rPr>
                          <w:t>for the target population</w:t>
                        </w:r>
                      </w:p>
                    </w:txbxContent>
                  </v:textbox>
                </v:rect>
                <v:rect id="Rechthoek 47" o:spid="_x0000_s1042" style="position:absolute;left:54102;top:29318;width:20167;height:184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qMBwwAAANsAAAAPAAAAZHJzL2Rvd25yZXYueG1sRI9BawIx&#10;FITvgv8hvEJvmm0p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gI6jAcMAAADbAAAADwAA&#10;AAAAAAAAAAAAAAAHAgAAZHJzL2Rvd25yZXYueG1sUEsFBgAAAAADAAMAtwAAAPcCAAAAAA==&#10;" filled="f" stroked="f" strokeweight="1pt">
                  <v:textbox>
                    <w:txbxContent>
                      <w:p w:rsidR="00795EEF" w:rsidRPr="00BC1C76"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 xml:space="preserve">Regress the age-specific </w:t>
                        </w:r>
                        <w:r w:rsidRPr="00BC1C76">
                          <w:rPr>
                            <w:rFonts w:ascii="Segoe UI Semilight" w:eastAsia="Times New Roman" w:hAnsi="Segoe UI Semilight" w:cs="Segoe UI Semilight"/>
                            <w:i/>
                            <w:color w:val="000000"/>
                            <w:sz w:val="15"/>
                            <w:szCs w:val="15"/>
                            <w:lang w:val="en-US"/>
                          </w:rPr>
                          <w:t>observed-on-predicted</w:t>
                        </w:r>
                        <w:r w:rsidRPr="00BC1C76">
                          <w:rPr>
                            <w:rFonts w:ascii="Segoe UI Semilight" w:eastAsia="Times New Roman" w:hAnsi="Segoe UI Semilight" w:cs="Segoe UI Semilight"/>
                            <w:color w:val="000000"/>
                            <w:sz w:val="15"/>
                            <w:szCs w:val="15"/>
                            <w:lang w:val="en-US"/>
                          </w:rPr>
                          <w:t xml:space="preserve"> risks</w:t>
                        </w:r>
                      </w:p>
                      <w:p w:rsidR="00795EEF" w:rsidRPr="00BC1C76"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sidRPr="00BC1C76">
                          <w:rPr>
                            <w:rFonts w:ascii="Segoe UI Semilight" w:eastAsia="Times New Roman" w:hAnsi="Segoe UI Semilight" w:cs="Segoe UI Semilight"/>
                            <w:color w:val="000000"/>
                            <w:sz w:val="15"/>
                            <w:szCs w:val="15"/>
                            <w:lang w:val="en-US"/>
                          </w:rPr>
                          <w:t>(note values are first transformed)</w:t>
                        </w:r>
                      </w:p>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Scale1 and Scale2 are the estimated rescaling factors)</w:t>
                        </w:r>
                      </w:p>
                    </w:txbxContent>
                  </v:textbox>
                </v:rect>
                <v:rect id="Rechthoek 48" o:spid="_x0000_s1043" style="position:absolute;top:333;width:20110;height:4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rsidR="00795EEF" w:rsidRPr="00644EC8" w:rsidRDefault="00795EEF" w:rsidP="00A91FDB">
                        <w:pPr>
                          <w:pStyle w:val="Normaalweb"/>
                          <w:spacing w:before="0" w:beforeAutospacing="0" w:after="160" w:afterAutospacing="0" w:line="254" w:lineRule="auto"/>
                          <w:rPr>
                            <w:rFonts w:ascii="Segoe UI" w:hAnsi="Segoe UI" w:cs="Segoe UI"/>
                            <w:b/>
                          </w:rPr>
                        </w:pPr>
                        <w:r w:rsidRPr="00644EC8">
                          <w:rPr>
                            <w:rFonts w:ascii="Segoe UI" w:eastAsia="Times New Roman" w:hAnsi="Segoe UI" w:cs="Segoe UI"/>
                            <w:b/>
                            <w:color w:val="000000"/>
                            <w:sz w:val="16"/>
                            <w:szCs w:val="16"/>
                          </w:rPr>
                          <w:t>General process: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inkeraccolade 49" o:spid="_x0000_s1044" type="#_x0000_t87" style="position:absolute;left:44233;top:-22988;width:1732;height:5553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" adj="460,10695" strokecolor="black [3213]" strokeweight=".5pt">
                  <v:stroke joinstyle="miter"/>
                </v:shape>
                <v:rect id="Rechthoek 50" o:spid="_x0000_s1045" style="position:absolute;left:31331;top:333;width:28805;height:4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2ovwAAANsAAAAPAAAAZHJzL2Rvd25yZXYueG1sRE/Pa8Iw&#10;FL4P/B/CE7zNdANF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CKvq2ovwAAANsAAAAPAAAAAAAA&#10;AAAAAAAAAAcCAABkcnMvZG93bnJldi54bWxQSwUGAAAAAAMAAwC3AAAA8wIAAAAA&#10;" filled="f" stroked="f" strokeweight="1pt">
                  <v:textbox>
                    <w:txbxContent>
                      <w:p w:rsidR="00795EEF" w:rsidRPr="00DC7FC3" w:rsidRDefault="00795EEF" w:rsidP="00A91FDB">
                        <w:pPr>
                          <w:pStyle w:val="Normaalweb"/>
                          <w:spacing w:before="0" w:beforeAutospacing="0" w:after="160" w:afterAutospacing="0" w:line="252" w:lineRule="auto"/>
                          <w:jc w:val="center"/>
                          <w:rPr>
                            <w:rFonts w:ascii="Segoe UI" w:hAnsi="Segoe UI" w:cs="Segoe UI"/>
                            <w:b/>
                            <w:lang w:val="en-US"/>
                          </w:rPr>
                        </w:pPr>
                        <w:r w:rsidRPr="00644EC8">
                          <w:rPr>
                            <w:rFonts w:ascii="Segoe UI" w:eastAsia="Times New Roman" w:hAnsi="Segoe UI" w:cs="Segoe UI"/>
                            <w:b/>
                            <w:bCs/>
                            <w:color w:val="000000"/>
                            <w:sz w:val="16"/>
                            <w:szCs w:val="16"/>
                            <w:lang w:val="en-US"/>
                          </w:rPr>
                          <w:t xml:space="preserve">Details/example using </w:t>
                        </w:r>
                        <w:r>
                          <w:rPr>
                            <w:rFonts w:ascii="Segoe UI" w:eastAsia="Times New Roman" w:hAnsi="Segoe UI" w:cs="Segoe UI"/>
                            <w:b/>
                            <w:bCs/>
                            <w:color w:val="000000"/>
                            <w:sz w:val="16"/>
                            <w:szCs w:val="16"/>
                            <w:lang w:val="en-US"/>
                          </w:rPr>
                          <w:t>SCORE2-OP</w:t>
                        </w:r>
                        <w:r w:rsidRPr="00644EC8">
                          <w:rPr>
                            <w:rFonts w:ascii="Segoe UI" w:eastAsia="Times New Roman" w:hAnsi="Segoe UI" w:cs="Segoe UI"/>
                            <w:b/>
                            <w:bCs/>
                            <w:color w:val="000000"/>
                            <w:sz w:val="16"/>
                            <w:szCs w:val="16"/>
                            <w:lang w:val="en-US"/>
                          </w:rPr>
                          <w:t xml:space="preserve"> for men</w:t>
                        </w:r>
                      </w:p>
                    </w:txbxContent>
                  </v:textbox>
                </v:rect>
                <v:shape id="Rechte verbindingslijn met pijl 51" o:spid="_x0000_s1046" type="#_x0000_t32" style="position:absolute;left:36082;top:24671;width:0;height:464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" strokecolor="black [3200]" strokeweight=".5pt">
                  <v:stroke endarrow="block" joinstyle="miter"/>
                </v:shape>
                <v:rect id="Rechthoek 52" o:spid="_x0000_s1047" style="position:absolute;left:18075;top:51670;width:36360;height:112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" filled="f" strokecolor="black [3213]" strokeweight="1pt">
                  <v:textbox>
                    <w:txbxContent>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r w:rsidRPr="00BC1C76">
                          <w:rPr>
                            <w:rFonts w:ascii="Segoe UI Semilight" w:hAnsi="Segoe UI Semilight" w:cs="Segoe UI Semilight"/>
                            <w:color w:val="000000" w:themeColor="text1"/>
                            <w:sz w:val="14"/>
                            <w:lang w:val="en-US"/>
                          </w:rPr>
                          <w:t xml:space="preserve">(A) Calculate original risk </w:t>
                        </w:r>
                        <w:r>
                          <w:rPr>
                            <w:rFonts w:ascii="Segoe UI Semilight" w:hAnsi="Segoe UI Semilight" w:cs="Segoe UI Semilight"/>
                            <w:color w:val="000000" w:themeColor="text1"/>
                            <w:sz w:val="14"/>
                            <w:lang w:val="en-US"/>
                          </w:rPr>
                          <w:t>estimation</w:t>
                        </w:r>
                        <w:r w:rsidRPr="00BC1C76">
                          <w:rPr>
                            <w:rFonts w:ascii="Segoe UI Semilight" w:hAnsi="Segoe UI Semilight" w:cs="Segoe UI Semilight"/>
                            <w:color w:val="000000" w:themeColor="text1"/>
                            <w:sz w:val="14"/>
                            <w:lang w:val="en-US"/>
                          </w:rPr>
                          <w:t xml:space="preserve"> for an individual or specific combination of risk factors:</w:t>
                        </w:r>
                      </w:p>
                      <w:p w:rsidR="00795EEF" w:rsidRPr="00BC1C76" w:rsidRDefault="00795EEF" w:rsidP="00A91FDB">
                        <w:pPr>
                          <w:rPr>
                            <w:color w:val="000000" w:themeColor="text1"/>
                            <w:sz w:val="18"/>
                          </w:rPr>
                        </w:pPr>
                        <m:oMathPara>
                          <m:oMath>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m:t>
                                </m:r>
                              </m:sub>
                            </m:sSub>
                            <m:r>
                              <w:rPr>
                                <w:rFonts w:ascii="Cambria Math" w:hAnsi="Cambria Math"/>
                                <w:color w:val="000000" w:themeColor="text1"/>
                                <w:sz w:val="18"/>
                              </w:rPr>
                              <m:t>=1-</m:t>
                            </m:r>
                            <m:sSup>
                              <m:sSupPr>
                                <m:ctrlPr>
                                  <w:rPr>
                                    <w:rFonts w:ascii="Cambria Math" w:hAnsi="Cambria Math"/>
                                    <w:i/>
                                    <w:color w:val="000000" w:themeColor="text1"/>
                                    <w:sz w:val="18"/>
                                    <w:lang w:val="nl-NL"/>
                                  </w:rPr>
                                </m:ctrlPr>
                              </m:sSupPr>
                              <m:e>
                                <m:r>
                                  <w:rPr>
                                    <w:rFonts w:ascii="Cambria Math" w:hAnsi="Cambria Math"/>
                                    <w:color w:val="000000" w:themeColor="text1"/>
                                    <w:sz w:val="18"/>
                                  </w:rPr>
                                  <m:t>0.7576</m:t>
                                </m:r>
                              </m:e>
                              <m:sup>
                                <m:r>
                                  <m:rPr>
                                    <m:sty m:val="p"/>
                                  </m:rPr>
                                  <w:rPr>
                                    <w:rFonts w:ascii="Cambria Math" w:hAnsi="Cambria Math"/>
                                    <w:color w:val="000000" w:themeColor="text1"/>
                                    <w:sz w:val="18"/>
                                  </w:rPr>
                                  <m:t>exp⁡</m:t>
                                </m:r>
                                <m:r>
                                  <w:rPr>
                                    <w:rFonts w:ascii="Cambria Math" w:hAnsi="Cambria Math"/>
                                    <w:color w:val="000000" w:themeColor="text1"/>
                                    <w:sz w:val="18"/>
                                  </w:rPr>
                                  <m:t>(</m:t>
                                </m:r>
                                <m:nary>
                                  <m:naryPr>
                                    <m:chr m:val="∑"/>
                                    <m:limLoc m:val="undOvr"/>
                                    <m:subHide m:val="1"/>
                                    <m:supHide m:val="1"/>
                                    <m:ctrlPr>
                                      <w:rPr>
                                        <w:rFonts w:ascii="Cambria Math" w:hAnsi="Cambria Math"/>
                                        <w:i/>
                                        <w:color w:val="000000" w:themeColor="text1"/>
                                        <w:sz w:val="18"/>
                                        <w:lang w:val="nl-NL"/>
                                      </w:rPr>
                                    </m:ctrlPr>
                                  </m:naryPr>
                                  <m:sub/>
                                  <m:sup/>
                                  <m:e>
                                    <m:r>
                                      <w:rPr>
                                        <w:rFonts w:ascii="Cambria Math" w:hAnsi="Cambria Math"/>
                                        <w:color w:val="000000" w:themeColor="text1"/>
                                        <w:sz w:val="18"/>
                                      </w:rPr>
                                      <m:t>β</m:t>
                                    </m:r>
                                    <m:sSub>
                                      <m:sSubPr>
                                        <m:ctrlPr>
                                          <w:rPr>
                                            <w:rFonts w:ascii="Cambria Math" w:hAnsi="Cambria Math"/>
                                            <w:i/>
                                            <w:color w:val="000000" w:themeColor="text1"/>
                                            <w:sz w:val="18"/>
                                            <w:lang w:val="nl-NL"/>
                                          </w:rPr>
                                        </m:ctrlPr>
                                      </m:sSubPr>
                                      <m:e>
                                        <m:r>
                                          <w:rPr>
                                            <w:rFonts w:ascii="Cambria Math" w:hAnsi="Cambria Math"/>
                                            <w:color w:val="000000" w:themeColor="text1"/>
                                            <w:sz w:val="18"/>
                                          </w:rPr>
                                          <m:t>x-x</m:t>
                                        </m:r>
                                      </m:e>
                                      <m:sub>
                                        <m:r>
                                          <w:rPr>
                                            <w:rFonts w:ascii="Cambria Math" w:hAnsi="Cambria Math"/>
                                            <w:color w:val="000000" w:themeColor="text1"/>
                                            <w:sz w:val="18"/>
                                          </w:rPr>
                                          <m:t>cen</m:t>
                                        </m:r>
                                      </m:sub>
                                    </m:sSub>
                                    <m:r>
                                      <w:rPr>
                                        <w:rFonts w:ascii="Cambria Math" w:hAnsi="Cambria Math"/>
                                        <w:color w:val="000000" w:themeColor="text1"/>
                                        <w:sz w:val="18"/>
                                      </w:rPr>
                                      <m:t>-0.0929)</m:t>
                                    </m:r>
                                  </m:e>
                                </m:nary>
                              </m:sup>
                            </m:sSup>
                          </m:oMath>
                        </m:oMathPara>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r w:rsidRPr="00BC1C76">
                          <w:rPr>
                            <w:rFonts w:ascii="Segoe UI Semilight" w:hAnsi="Segoe UI Semilight" w:cs="Segoe UI Semilight"/>
                            <w:color w:val="000000" w:themeColor="text1"/>
                            <w:sz w:val="14"/>
                            <w:lang w:val="en-US"/>
                          </w:rPr>
                          <w:t>(B) Use rescaling factors to</w:t>
                        </w:r>
                        <w:r>
                          <w:rPr>
                            <w:rFonts w:ascii="Segoe UI Semilight" w:hAnsi="Segoe UI Semilight" w:cs="Segoe UI Semilight"/>
                            <w:color w:val="000000" w:themeColor="text1"/>
                            <w:sz w:val="14"/>
                            <w:lang w:val="en-US"/>
                          </w:rPr>
                          <w:t xml:space="preserve"> estimate the recalibrated risk:</w:t>
                        </w:r>
                      </w:p>
                      <w:p w:rsidR="00795EEF" w:rsidRPr="00BC1C76" w:rsidRDefault="00795EEF" w:rsidP="00A91FDB">
                        <w:pPr>
                          <w:rPr>
                            <w:color w:val="000000" w:themeColor="text1"/>
                            <w:sz w:val="18"/>
                          </w:rPr>
                        </w:pPr>
                        <m:oMathPara>
                          <m:oMath>
                            <m:sSub>
                              <m:sSubPr>
                                <m:ctrlPr>
                                  <w:rPr>
                                    <w:rFonts w:ascii="Cambria Math" w:hAnsi="Cambria Math"/>
                                    <w:i/>
                                    <w:color w:val="000000" w:themeColor="text1"/>
                                    <w:sz w:val="18"/>
                                    <w:lang w:val="nl-NL"/>
                                  </w:rPr>
                                </m:ctrlPr>
                              </m:sSubPr>
                              <m:e>
                                <m:r>
                                  <w:rPr>
                                    <w:rFonts w:ascii="Cambria Math" w:hAnsi="Cambria Math"/>
                                    <w:color w:val="00B050"/>
                                    <w:sz w:val="18"/>
                                  </w:rPr>
                                  <m:t>θ</m:t>
                                </m:r>
                              </m:e>
                              <m:sub>
                                <m:r>
                                  <w:rPr>
                                    <w:rFonts w:ascii="Cambria Math" w:hAnsi="Cambria Math"/>
                                    <w:color w:val="00B050"/>
                                    <w:sz w:val="18"/>
                                  </w:rPr>
                                  <m:t>newpred</m:t>
                                </m:r>
                              </m:sub>
                            </m:sSub>
                            <m:r>
                              <w:rPr>
                                <w:rFonts w:ascii="Cambria Math" w:hAnsi="Cambria Math"/>
                                <w:color w:val="000000" w:themeColor="text1"/>
                                <w:sz w:val="18"/>
                              </w:rPr>
                              <m:t>=1-</m:t>
                            </m:r>
                            <m:r>
                              <m:rPr>
                                <m:sty m:val="p"/>
                              </m:rPr>
                              <w:rPr>
                                <w:rFonts w:ascii="Cambria Math" w:hAnsi="Cambria Math"/>
                                <w:color w:val="000000" w:themeColor="text1"/>
                                <w:sz w:val="18"/>
                              </w:rPr>
                              <m:t>exp⁡</m:t>
                            </m:r>
                            <m:r>
                              <w:rPr>
                                <w:rFonts w:ascii="Cambria Math" w:hAnsi="Cambria Math"/>
                                <w:color w:val="000000" w:themeColor="text1"/>
                                <w:sz w:val="18"/>
                              </w:rPr>
                              <m:t>(-</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exp</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Scale1+Scale2×</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ln</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m:t>
                                            </m:r>
                                            <m:func>
                                              <m:funcPr>
                                                <m:ctrlPr>
                                                  <w:rPr>
                                                    <w:rFonts w:ascii="Cambria Math" w:hAnsi="Cambria Math"/>
                                                    <w:color w:val="000000" w:themeColor="text1"/>
                                                    <w:sz w:val="18"/>
                                                  </w:rPr>
                                                </m:ctrlPr>
                                              </m:funcPr>
                                              <m:fName>
                                                <m:r>
                                                  <m:rPr>
                                                    <m:sty m:val="p"/>
                                                  </m:rPr>
                                                  <w:rPr>
                                                    <w:rFonts w:ascii="Cambria Math" w:hAnsi="Cambria Math"/>
                                                    <w:color w:val="000000" w:themeColor="text1"/>
                                                    <w:sz w:val="18"/>
                                                  </w:rPr>
                                                  <m:t>ln</m:t>
                                                </m:r>
                                                <m:ctrlPr>
                                                  <w:rPr>
                                                    <w:rFonts w:ascii="Cambria Math" w:hAnsi="Cambria Math"/>
                                                    <w:i/>
                                                    <w:color w:val="000000" w:themeColor="text1"/>
                                                    <w:sz w:val="18"/>
                                                  </w:rPr>
                                                </m:ctrlPr>
                                              </m:fName>
                                              <m:e>
                                                <m:d>
                                                  <m:dPr>
                                                    <m:ctrlPr>
                                                      <w:rPr>
                                                        <w:rFonts w:ascii="Cambria Math" w:hAnsi="Cambria Math"/>
                                                        <w:i/>
                                                        <w:color w:val="000000" w:themeColor="text1"/>
                                                        <w:sz w:val="18"/>
                                                      </w:rPr>
                                                    </m:ctrlPr>
                                                  </m:dPr>
                                                  <m:e>
                                                    <m:r>
                                                      <w:rPr>
                                                        <w:rFonts w:ascii="Cambria Math" w:hAnsi="Cambria Math"/>
                                                        <w:color w:val="000000" w:themeColor="text1"/>
                                                        <w:sz w:val="18"/>
                                                      </w:rPr>
                                                      <m:t>1-</m:t>
                                                    </m:r>
                                                    <m:sSub>
                                                      <m:sSubPr>
                                                        <m:ctrlPr>
                                                          <w:rPr>
                                                            <w:rFonts w:ascii="Cambria Math" w:hAnsi="Cambria Math"/>
                                                            <w:i/>
                                                            <w:color w:val="000000" w:themeColor="text1"/>
                                                            <w:sz w:val="18"/>
                                                            <w:lang w:val="nl-NL"/>
                                                          </w:rPr>
                                                        </m:ctrlPr>
                                                      </m:sSubPr>
                                                      <m:e>
                                                        <m:r>
                                                          <w:rPr>
                                                            <w:rFonts w:ascii="Cambria Math" w:hAnsi="Cambria Math"/>
                                                            <w:color w:val="FF0000"/>
                                                            <w:sz w:val="18"/>
                                                          </w:rPr>
                                                          <m:t>θ</m:t>
                                                        </m:r>
                                                      </m:e>
                                                      <m:sub>
                                                        <m:r>
                                                          <w:rPr>
                                                            <w:rFonts w:ascii="Cambria Math" w:hAnsi="Cambria Math"/>
                                                            <w:color w:val="FF0000"/>
                                                            <w:sz w:val="18"/>
                                                          </w:rPr>
                                                          <m:t>pred</m:t>
                                                        </m:r>
                                                      </m:sub>
                                                    </m:sSub>
                                                    <m:r>
                                                      <w:rPr>
                                                        <w:rFonts w:ascii="Cambria Math" w:hAnsi="Cambria Math"/>
                                                        <w:color w:val="000000" w:themeColor="text1"/>
                                                        <w:sz w:val="18"/>
                                                        <w:lang w:val="nl-NL"/>
                                                      </w:rPr>
                                                      <m:t>)</m:t>
                                                    </m:r>
                                                    <m:ctrlPr>
                                                      <w:rPr>
                                                        <w:rFonts w:ascii="Cambria Math" w:hAnsi="Cambria Math"/>
                                                        <w:i/>
                                                        <w:color w:val="000000" w:themeColor="text1"/>
                                                        <w:sz w:val="18"/>
                                                        <w:lang w:val="nl-NL"/>
                                                      </w:rPr>
                                                    </m:ctrlPr>
                                                  </m:e>
                                                </m:d>
                                              </m:e>
                                            </m:func>
                                            <m:ctrlPr>
                                              <w:rPr>
                                                <w:rFonts w:ascii="Cambria Math" w:hAnsi="Cambria Math"/>
                                                <w:i/>
                                                <w:color w:val="000000" w:themeColor="text1"/>
                                                <w:sz w:val="18"/>
                                                <w:lang w:val="nl-NL"/>
                                              </w:rPr>
                                            </m:ctrlPr>
                                          </m:e>
                                        </m:d>
                                      </m:e>
                                    </m:func>
                                    <m:ctrlPr>
                                      <w:rPr>
                                        <w:rFonts w:ascii="Cambria Math" w:hAnsi="Cambria Math"/>
                                        <w:i/>
                                        <w:color w:val="000000" w:themeColor="text1"/>
                                        <w:sz w:val="18"/>
                                        <w:lang w:val="nl-NL"/>
                                      </w:rPr>
                                    </m:ctrlPr>
                                  </m:e>
                                </m:d>
                              </m:e>
                            </m:func>
                          </m:oMath>
                        </m:oMathPara>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color w:val="000000" w:themeColor="text1"/>
                            <w:sz w:val="14"/>
                            <w:lang w:val="en-US"/>
                          </w:rPr>
                        </w:pPr>
                      </w:p>
                      <w:p w:rsidR="00795EEF" w:rsidRPr="00BC1C76" w:rsidRDefault="00795EEF" w:rsidP="00A91FDB">
                        <w:pPr>
                          <w:pStyle w:val="Normaalweb"/>
                          <w:spacing w:before="0" w:beforeAutospacing="0" w:after="160" w:afterAutospacing="0" w:line="254" w:lineRule="auto"/>
                          <w:jc w:val="both"/>
                          <w:rPr>
                            <w:rFonts w:ascii="Segoe UI Semilight" w:hAnsi="Segoe UI Semilight" w:cs="Segoe UI Semilight"/>
                            <w:sz w:val="14"/>
                            <w:lang w:val="en-US"/>
                          </w:rPr>
                        </w:pPr>
                      </w:p>
                    </w:txbxContent>
                  </v:textbox>
                </v:rect>
                <v:shape id="Rechte verbindingslijn met pijl 60" o:spid="_x0000_s1048" type="#_x0000_t32" style="position:absolute;left:35973;top:47938;width:34;height:37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" strokecolor="black [3200]" strokeweight=".5pt">
                  <v:stroke endarrow="block" joinstyle="miter"/>
                </v:shape>
                <v:rect id="Rechthoek 61" o:spid="_x0000_s1049" style="position:absolute;top:51434;width:19132;height:140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rsidR="00795EEF" w:rsidRPr="00BC1C76" w:rsidRDefault="00795EEF" w:rsidP="00A91FDB">
                        <w:pPr>
                          <w:pStyle w:val="Normaalweb"/>
                          <w:spacing w:before="0" w:beforeAutospacing="0" w:after="0" w:afterAutospacing="0" w:line="252" w:lineRule="auto"/>
                          <w:rPr>
                            <w:sz w:val="15"/>
                            <w:szCs w:val="15"/>
                            <w:lang w:val="en-US"/>
                          </w:rPr>
                        </w:pPr>
                        <w:r w:rsidRPr="00BC1C76">
                          <w:rPr>
                            <w:rFonts w:ascii="Segoe UI Semilight" w:eastAsia="Times New Roman" w:hAnsi="Segoe UI Semilight" w:cs="Segoe UI Semilight"/>
                            <w:color w:val="000000"/>
                            <w:sz w:val="15"/>
                            <w:szCs w:val="15"/>
                            <w:lang w:val="en-US"/>
                          </w:rPr>
                          <w:t xml:space="preserve">Using rescaling factors to give a </w:t>
                        </w:r>
                        <w:r w:rsidRPr="00BC1C76">
                          <w:rPr>
                            <w:rFonts w:ascii="Segoe UI Semilight" w:eastAsia="Times New Roman" w:hAnsi="Segoe UI Semilight" w:cs="Segoe UI Semilight"/>
                            <w:color w:val="00B050"/>
                            <w:sz w:val="15"/>
                            <w:szCs w:val="15"/>
                            <w:lang w:val="en-US"/>
                          </w:rPr>
                          <w:t>recalibrated 10-year risk</w:t>
                        </w:r>
                        <w:r w:rsidRPr="00BC1C76">
                          <w:rPr>
                            <w:rFonts w:ascii="Segoe UI Semilight" w:eastAsia="Times New Roman" w:hAnsi="Segoe UI Semilight" w:cs="Segoe UI Semilight"/>
                            <w:color w:val="000000"/>
                            <w:sz w:val="15"/>
                            <w:szCs w:val="15"/>
                            <w:lang w:val="en-US"/>
                          </w:rPr>
                          <w:t xml:space="preserve"> estimate for each new individual/combination of risk factors</w:t>
                        </w:r>
                      </w:p>
                    </w:txbxContent>
                  </v:textbox>
                </v:rect>
                <v:rect id="Rechthoek 62" o:spid="_x0000_s1050" style="position:absolute;left:54648;top:48758;width:19621;height:18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" filled="f" stroked="f" strokeweight="1pt">
                  <v:textbox>
                    <w:txbxContent>
                      <w:p w:rsidR="00795EEF" w:rsidRDefault="00795EEF" w:rsidP="00A91FDB">
                        <w:pPr>
                          <w:pStyle w:val="Normaalweb"/>
                          <w:spacing w:before="0" w:beforeAutospacing="0" w:after="0" w:afterAutospacing="0" w:line="252" w:lineRule="auto"/>
                          <w:rPr>
                            <w:rFonts w:ascii="Segoe UI Semilight" w:eastAsia="Times New Roman" w:hAnsi="Segoe UI Semilight" w:cs="Segoe UI Semilight"/>
                            <w:color w:val="000000"/>
                            <w:sz w:val="15"/>
                            <w:szCs w:val="15"/>
                            <w:lang w:val="en-US"/>
                          </w:rPr>
                        </w:pPr>
                        <w:r>
                          <w:rPr>
                            <w:rFonts w:ascii="Segoe UI Semilight" w:eastAsia="Times New Roman" w:hAnsi="Segoe UI Semilight" w:cs="Segoe UI Semilight"/>
                            <w:color w:val="000000"/>
                            <w:sz w:val="15"/>
                            <w:szCs w:val="15"/>
                            <w:lang w:val="en-US"/>
                          </w:rPr>
                          <w:t>β = SCORE2-OP coefficients</w:t>
                        </w:r>
                      </w:p>
                      <w:p w:rsidR="00795EEF" w:rsidRPr="00BC1C76" w:rsidRDefault="00795EEF" w:rsidP="00A91FDB">
                        <w:pPr>
                          <w:pStyle w:val="Normaalweb"/>
                          <w:spacing w:before="0" w:beforeAutospacing="0" w:after="0" w:afterAutospacing="0" w:line="252" w:lineRule="auto"/>
                          <w:rPr>
                            <w:sz w:val="15"/>
                            <w:szCs w:val="15"/>
                            <w:lang w:val="en-US"/>
                          </w:rPr>
                        </w:pPr>
                        <w:r>
                          <w:rPr>
                            <w:rFonts w:ascii="Segoe UI Semilight" w:eastAsia="Times New Roman" w:hAnsi="Segoe UI Semilight" w:cs="Segoe UI Semilight"/>
                            <w:color w:val="000000"/>
                            <w:sz w:val="15"/>
                            <w:szCs w:val="15"/>
                            <w:lang w:val="en-US"/>
                          </w:rPr>
                          <w:t>x are the risk factor values, either for a new individual (when using an online calculator) or for a specific entry on the risk charts</w:t>
                        </w:r>
                      </w:p>
                    </w:txbxContent>
                  </v:textbox>
                </v:rect>
                <w10:anchorlock/>
              </v:group>
            </w:pict>
          </mc:Fallback>
        </mc:AlternateContent>
      </w:r>
    </w:p>
    <w:p w:rsidR="00A91FDB" w:rsidRPr="00B2496F" w:rsidRDefault="00A91FDB" w:rsidP="00A91FDB">
      <w:pPr>
        <w:rPr>
          <w:rFonts w:ascii="Arial" w:hAnsi="Arial" w:cs="Arial"/>
          <w:sz w:val="20"/>
        </w:rPr>
      </w:pPr>
      <w:r w:rsidRPr="00B2496F">
        <w:rPr>
          <w:rFonts w:ascii="Arial" w:hAnsi="Arial" w:cs="Arial"/>
          <w:sz w:val="20"/>
        </w:rPr>
        <w:br w:type="page"/>
      </w:r>
    </w:p>
    <w:p w:rsidR="0098527B" w:rsidRPr="00B2496F" w:rsidRDefault="0098527B" w:rsidP="0098527B">
      <w:pPr>
        <w:pStyle w:val="aParagraafkop"/>
      </w:pPr>
      <w:r w:rsidRPr="00B2496F">
        <w:lastRenderedPageBreak/>
        <w:t xml:space="preserve">Supplementary Table 1: </w:t>
      </w:r>
      <w:r w:rsidRPr="00B2496F">
        <w:rPr>
          <w:b w:val="0"/>
        </w:rPr>
        <w:t>Endpoint definitions</w:t>
      </w:r>
    </w:p>
    <w:p w:rsidR="0098527B" w:rsidRPr="00B2496F" w:rsidRDefault="0098527B" w:rsidP="0098527B">
      <w:pPr>
        <w:pStyle w:val="dGewonetekst"/>
      </w:pPr>
      <w:r w:rsidRPr="00B2496F">
        <w:t>1. Fatal cardiovascular disease– cause specific mortality due to any of the following:</w:t>
      </w:r>
    </w:p>
    <w:tbl>
      <w:tblPr>
        <w:tblW w:w="7794" w:type="dxa"/>
        <w:tblCellMar>
          <w:left w:w="70" w:type="dxa"/>
          <w:right w:w="70" w:type="dxa"/>
        </w:tblCellMar>
        <w:tblLook w:val="04A0" w:firstRow="1" w:lastRow="0" w:firstColumn="1" w:lastColumn="0" w:noHBand="0" w:noVBand="1"/>
      </w:tblPr>
      <w:tblGrid>
        <w:gridCol w:w="5814"/>
        <w:gridCol w:w="1980"/>
      </w:tblGrid>
      <w:tr w:rsidR="0098527B" w:rsidRPr="00B2496F" w:rsidTr="005A7088">
        <w:trPr>
          <w:trHeight w:val="300"/>
        </w:trPr>
        <w:tc>
          <w:tcPr>
            <w:tcW w:w="5814"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
                <w:color w:val="000000"/>
                <w:sz w:val="20"/>
                <w:lang w:eastAsia="nl-NL"/>
              </w:rPr>
            </w:pPr>
            <w:r w:rsidRPr="00B2496F">
              <w:rPr>
                <w:rFonts w:ascii="Arial" w:eastAsia="Times New Roman" w:hAnsi="Arial" w:cs="Arial"/>
                <w:b/>
                <w:color w:val="000000"/>
                <w:sz w:val="20"/>
                <w:lang w:eastAsia="nl-NL"/>
              </w:rPr>
              <w:t>Endpoints included</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
                <w:bCs/>
                <w:color w:val="000000"/>
                <w:sz w:val="20"/>
                <w:lang w:eastAsia="nl-NL"/>
              </w:rPr>
            </w:pPr>
            <w:r w:rsidRPr="00B2496F">
              <w:rPr>
                <w:rFonts w:ascii="Arial" w:eastAsia="Times New Roman" w:hAnsi="Arial" w:cs="Arial"/>
                <w:b/>
                <w:bCs/>
                <w:color w:val="000000"/>
                <w:sz w:val="20"/>
                <w:lang w:eastAsia="nl-NL"/>
              </w:rPr>
              <w:t>ICD10-codes</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tabs>
                <w:tab w:val="left" w:pos="1944"/>
              </w:tabs>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Hypertensive disease</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I10-16</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ischemic heart disease</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I20-25</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Arrhythmias, heart failure</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I46-52</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Cerebrovascular disease</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I60-69</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Atherosclerosis/AAA</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I70-73</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instantaneous death and death within 24h of symptom onset</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bCs/>
                <w:color w:val="000000"/>
                <w:sz w:val="20"/>
                <w:lang w:eastAsia="nl-NL"/>
              </w:rPr>
            </w:pPr>
            <w:r w:rsidRPr="00B2496F">
              <w:rPr>
                <w:rFonts w:ascii="Arial" w:eastAsia="Times New Roman" w:hAnsi="Arial" w:cs="Arial"/>
                <w:bCs/>
                <w:color w:val="000000"/>
                <w:sz w:val="20"/>
                <w:lang w:eastAsia="nl-NL"/>
              </w:rPr>
              <w:t>R96.0-96.1</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b/>
                <w:bCs/>
                <w:color w:val="000000"/>
                <w:sz w:val="20"/>
                <w:lang w:eastAsia="nl-NL"/>
              </w:rPr>
            </w:pP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sz w:val="20"/>
                <w:lang w:eastAsia="nl-NL"/>
              </w:rPr>
            </w:pP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b/>
                <w:bCs/>
                <w:color w:val="000000"/>
                <w:sz w:val="20"/>
                <w:lang w:eastAsia="nl-NL"/>
              </w:rPr>
            </w:pPr>
            <w:r w:rsidRPr="00B2496F">
              <w:rPr>
                <w:rFonts w:ascii="Arial" w:eastAsia="Times New Roman" w:hAnsi="Arial" w:cs="Arial"/>
                <w:b/>
                <w:bCs/>
                <w:color w:val="000000"/>
                <w:sz w:val="20"/>
                <w:lang w:eastAsia="nl-NL"/>
              </w:rPr>
              <w:t>The following ICD codes are to be excluded from the above endpoint:</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sz w:val="20"/>
                <w:lang w:eastAsia="nl-NL"/>
              </w:rPr>
            </w:pP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Myocarditis, unspecified</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I51.4</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subarachnoid hemorrhage</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I60</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 xml:space="preserve">Subdural hemorrhage </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I62</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Cerebral aneurysm</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I67.1</w:t>
            </w:r>
          </w:p>
        </w:tc>
      </w:tr>
      <w:tr w:rsidR="0098527B" w:rsidRPr="00B2496F" w:rsidTr="005A7088">
        <w:trPr>
          <w:trHeight w:val="330"/>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Cerebral arteritis</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I68.2</w:t>
            </w:r>
          </w:p>
        </w:tc>
      </w:tr>
      <w:tr w:rsidR="0098527B" w:rsidRPr="00B2496F" w:rsidTr="005A7088">
        <w:trPr>
          <w:trHeight w:val="374"/>
        </w:trPr>
        <w:tc>
          <w:tcPr>
            <w:tcW w:w="5814"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Moyamoya</w:t>
            </w:r>
          </w:p>
        </w:tc>
        <w:tc>
          <w:tcPr>
            <w:tcW w:w="1980"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I67.5</w:t>
            </w:r>
          </w:p>
        </w:tc>
      </w:tr>
    </w:tbl>
    <w:p w:rsidR="0098527B" w:rsidRPr="00B2496F" w:rsidRDefault="0098527B" w:rsidP="0098527B">
      <w:pPr>
        <w:spacing w:after="0" w:line="240" w:lineRule="auto"/>
        <w:rPr>
          <w:rFonts w:ascii="Arial" w:hAnsi="Arial" w:cs="Arial"/>
          <w:sz w:val="20"/>
        </w:rPr>
      </w:pPr>
    </w:p>
    <w:p w:rsidR="0098527B" w:rsidRPr="00B2496F" w:rsidRDefault="0098527B" w:rsidP="0098527B">
      <w:pPr>
        <w:spacing w:after="0" w:line="240" w:lineRule="auto"/>
        <w:rPr>
          <w:rFonts w:ascii="Arial" w:hAnsi="Arial" w:cs="Arial"/>
          <w:sz w:val="20"/>
        </w:rPr>
      </w:pPr>
    </w:p>
    <w:p w:rsidR="0098527B" w:rsidRPr="00B2496F" w:rsidRDefault="0098527B" w:rsidP="0098527B">
      <w:pPr>
        <w:pStyle w:val="dGewonetekst"/>
        <w:rPr>
          <w:b/>
        </w:rPr>
      </w:pPr>
      <w:r w:rsidRPr="00B2496F">
        <w:t>2. Hospitalization from cardiovascular disease</w:t>
      </w:r>
    </w:p>
    <w:tbl>
      <w:tblPr>
        <w:tblW w:w="7797" w:type="dxa"/>
        <w:tblCellMar>
          <w:left w:w="70" w:type="dxa"/>
          <w:right w:w="70" w:type="dxa"/>
        </w:tblCellMar>
        <w:tblLook w:val="04A0" w:firstRow="1" w:lastRow="0" w:firstColumn="1" w:lastColumn="0" w:noHBand="0" w:noVBand="1"/>
      </w:tblPr>
      <w:tblGrid>
        <w:gridCol w:w="5812"/>
        <w:gridCol w:w="1985"/>
      </w:tblGrid>
      <w:tr w:rsidR="0098527B" w:rsidRPr="00B2496F" w:rsidTr="005A7088">
        <w:trPr>
          <w:trHeight w:val="330"/>
        </w:trPr>
        <w:tc>
          <w:tcPr>
            <w:tcW w:w="5812" w:type="dxa"/>
            <w:tcBorders>
              <w:top w:val="nil"/>
              <w:left w:val="nil"/>
              <w:bottom w:val="nil"/>
              <w:right w:val="nil"/>
            </w:tcBorders>
            <w:shd w:val="clear" w:color="auto" w:fill="auto"/>
            <w:noWrap/>
            <w:vAlign w:val="center"/>
          </w:tcPr>
          <w:p w:rsidR="0098527B" w:rsidRPr="00B2496F" w:rsidRDefault="0098527B" w:rsidP="005A7088">
            <w:pPr>
              <w:spacing w:after="0" w:line="240" w:lineRule="auto"/>
              <w:rPr>
                <w:rFonts w:ascii="Arial" w:eastAsia="Times New Roman" w:hAnsi="Arial" w:cs="Arial"/>
                <w:b/>
                <w:color w:val="000000"/>
                <w:sz w:val="20"/>
                <w:lang w:eastAsia="nl-NL"/>
              </w:rPr>
            </w:pPr>
            <w:r w:rsidRPr="00B2496F">
              <w:rPr>
                <w:rFonts w:ascii="Arial" w:eastAsia="Times New Roman" w:hAnsi="Arial" w:cs="Arial"/>
                <w:b/>
                <w:color w:val="000000"/>
                <w:sz w:val="20"/>
                <w:lang w:eastAsia="nl-NL"/>
              </w:rPr>
              <w:t>Endpoints included</w:t>
            </w:r>
          </w:p>
        </w:tc>
        <w:tc>
          <w:tcPr>
            <w:tcW w:w="1985" w:type="dxa"/>
            <w:tcBorders>
              <w:top w:val="nil"/>
              <w:left w:val="nil"/>
              <w:bottom w:val="nil"/>
              <w:right w:val="nil"/>
            </w:tcBorders>
            <w:shd w:val="clear" w:color="auto" w:fill="auto"/>
            <w:noWrap/>
            <w:vAlign w:val="bottom"/>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b/>
                <w:bCs/>
                <w:color w:val="000000"/>
                <w:sz w:val="20"/>
                <w:lang w:eastAsia="nl-NL"/>
              </w:rPr>
              <w:t>ICD10-codes</w:t>
            </w:r>
          </w:p>
        </w:tc>
      </w:tr>
      <w:tr w:rsidR="0098527B" w:rsidRPr="00B2496F" w:rsidTr="005A7088">
        <w:trPr>
          <w:trHeight w:val="330"/>
        </w:trPr>
        <w:tc>
          <w:tcPr>
            <w:tcW w:w="5812" w:type="dxa"/>
            <w:tcBorders>
              <w:top w:val="nil"/>
              <w:left w:val="nil"/>
              <w:bottom w:val="nil"/>
              <w:right w:val="nil"/>
            </w:tcBorders>
            <w:shd w:val="clear" w:color="auto" w:fill="auto"/>
            <w:noWrap/>
            <w:vAlign w:val="center"/>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hAnsi="Arial" w:cs="Arial"/>
                <w:sz w:val="20"/>
              </w:rPr>
              <w:t>Non-fatal myocardial infarction</w:t>
            </w:r>
            <w:r w:rsidRPr="00B2496F">
              <w:rPr>
                <w:rFonts w:ascii="Arial" w:hAnsi="Arial" w:cs="Arial"/>
                <w:sz w:val="20"/>
              </w:rPr>
              <w:tab/>
            </w:r>
          </w:p>
        </w:tc>
        <w:tc>
          <w:tcPr>
            <w:tcW w:w="1985" w:type="dxa"/>
            <w:tcBorders>
              <w:top w:val="nil"/>
              <w:left w:val="nil"/>
              <w:bottom w:val="nil"/>
              <w:right w:val="nil"/>
            </w:tcBorders>
            <w:shd w:val="clear" w:color="auto" w:fill="auto"/>
            <w:noWrap/>
            <w:vAlign w:val="bottom"/>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hAnsi="Arial" w:cs="Arial"/>
                <w:sz w:val="20"/>
              </w:rPr>
              <w:t>I21-23</w:t>
            </w:r>
          </w:p>
        </w:tc>
      </w:tr>
      <w:tr w:rsidR="0098527B" w:rsidRPr="00B2496F" w:rsidTr="005A7088">
        <w:trPr>
          <w:trHeight w:val="330"/>
        </w:trPr>
        <w:tc>
          <w:tcPr>
            <w:tcW w:w="5812" w:type="dxa"/>
            <w:tcBorders>
              <w:top w:val="nil"/>
              <w:left w:val="nil"/>
              <w:bottom w:val="nil"/>
              <w:right w:val="nil"/>
            </w:tcBorders>
            <w:shd w:val="clear" w:color="auto" w:fill="auto"/>
            <w:noWrap/>
            <w:vAlign w:val="center"/>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hAnsi="Arial" w:cs="Arial"/>
                <w:sz w:val="20"/>
              </w:rPr>
              <w:t>Non-fatal stroke</w:t>
            </w:r>
            <w:r w:rsidRPr="00B2496F">
              <w:rPr>
                <w:rFonts w:ascii="Arial" w:hAnsi="Arial" w:cs="Arial"/>
                <w:sz w:val="20"/>
              </w:rPr>
              <w:tab/>
            </w:r>
          </w:p>
        </w:tc>
        <w:tc>
          <w:tcPr>
            <w:tcW w:w="1985" w:type="dxa"/>
            <w:tcBorders>
              <w:top w:val="nil"/>
              <w:left w:val="nil"/>
              <w:bottom w:val="nil"/>
              <w:right w:val="nil"/>
            </w:tcBorders>
            <w:shd w:val="clear" w:color="auto" w:fill="auto"/>
            <w:noWrap/>
            <w:vAlign w:val="bottom"/>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hAnsi="Arial" w:cs="Arial"/>
                <w:sz w:val="20"/>
              </w:rPr>
              <w:t>I60-69</w:t>
            </w:r>
          </w:p>
        </w:tc>
      </w:tr>
      <w:tr w:rsidR="0098527B" w:rsidRPr="00B2496F" w:rsidTr="005A7088">
        <w:trPr>
          <w:trHeight w:val="330"/>
        </w:trPr>
        <w:tc>
          <w:tcPr>
            <w:tcW w:w="5812" w:type="dxa"/>
            <w:tcBorders>
              <w:top w:val="nil"/>
              <w:left w:val="nil"/>
              <w:bottom w:val="nil"/>
              <w:right w:val="nil"/>
            </w:tcBorders>
            <w:shd w:val="clear" w:color="auto" w:fill="auto"/>
            <w:noWrap/>
            <w:vAlign w:val="center"/>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hAnsi="Arial" w:cs="Arial"/>
                <w:b/>
                <w:bCs/>
                <w:sz w:val="20"/>
              </w:rPr>
              <w:t>Excluded from the non-fatal stroke endpoint:</w:t>
            </w:r>
          </w:p>
        </w:tc>
        <w:tc>
          <w:tcPr>
            <w:tcW w:w="1985" w:type="dxa"/>
            <w:tcBorders>
              <w:top w:val="nil"/>
              <w:left w:val="nil"/>
              <w:bottom w:val="nil"/>
              <w:right w:val="nil"/>
            </w:tcBorders>
            <w:shd w:val="clear" w:color="auto" w:fill="auto"/>
            <w:noWrap/>
            <w:vAlign w:val="bottom"/>
          </w:tcPr>
          <w:p w:rsidR="0098527B" w:rsidRPr="00B2496F" w:rsidRDefault="0098527B" w:rsidP="005A7088">
            <w:pPr>
              <w:spacing w:after="0" w:line="240" w:lineRule="auto"/>
              <w:rPr>
                <w:rFonts w:ascii="Arial" w:eastAsia="Times New Roman" w:hAnsi="Arial" w:cs="Arial"/>
                <w:color w:val="000000"/>
                <w:sz w:val="20"/>
                <w:lang w:eastAsia="nl-NL"/>
              </w:rPr>
            </w:pPr>
          </w:p>
        </w:tc>
      </w:tr>
      <w:tr w:rsidR="0098527B" w:rsidRPr="00B2496F" w:rsidTr="005A7088">
        <w:trPr>
          <w:trHeight w:val="330"/>
        </w:trPr>
        <w:tc>
          <w:tcPr>
            <w:tcW w:w="5812"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Subarachnoid hemorrhage</w:t>
            </w:r>
          </w:p>
        </w:tc>
        <w:tc>
          <w:tcPr>
            <w:tcW w:w="1985"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I60</w:t>
            </w:r>
          </w:p>
        </w:tc>
      </w:tr>
      <w:tr w:rsidR="0098527B" w:rsidRPr="00B2496F" w:rsidTr="005A7088">
        <w:trPr>
          <w:trHeight w:val="330"/>
        </w:trPr>
        <w:tc>
          <w:tcPr>
            <w:tcW w:w="5812"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 xml:space="preserve">Subdural hemorrhage </w:t>
            </w:r>
          </w:p>
        </w:tc>
        <w:tc>
          <w:tcPr>
            <w:tcW w:w="1985"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I62</w:t>
            </w:r>
          </w:p>
        </w:tc>
      </w:tr>
      <w:tr w:rsidR="0098527B" w:rsidRPr="00B2496F" w:rsidTr="005A7088">
        <w:trPr>
          <w:trHeight w:val="330"/>
        </w:trPr>
        <w:tc>
          <w:tcPr>
            <w:tcW w:w="5812"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Cerebral aneurysm</w:t>
            </w:r>
          </w:p>
        </w:tc>
        <w:tc>
          <w:tcPr>
            <w:tcW w:w="1985"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I67.1</w:t>
            </w:r>
          </w:p>
        </w:tc>
      </w:tr>
      <w:tr w:rsidR="0098527B" w:rsidRPr="00B2496F" w:rsidTr="005A7088">
        <w:trPr>
          <w:trHeight w:val="330"/>
        </w:trPr>
        <w:tc>
          <w:tcPr>
            <w:tcW w:w="5812"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Cerebral arteritis</w:t>
            </w:r>
          </w:p>
        </w:tc>
        <w:tc>
          <w:tcPr>
            <w:tcW w:w="1985"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I682</w:t>
            </w:r>
          </w:p>
        </w:tc>
      </w:tr>
      <w:tr w:rsidR="0098527B" w:rsidRPr="00B2496F" w:rsidTr="005A7088">
        <w:trPr>
          <w:trHeight w:val="374"/>
        </w:trPr>
        <w:tc>
          <w:tcPr>
            <w:tcW w:w="5812" w:type="dxa"/>
            <w:tcBorders>
              <w:top w:val="nil"/>
              <w:left w:val="nil"/>
              <w:bottom w:val="nil"/>
              <w:right w:val="nil"/>
            </w:tcBorders>
            <w:shd w:val="clear" w:color="auto" w:fill="auto"/>
            <w:noWrap/>
            <w:vAlign w:val="center"/>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Moyamoya</w:t>
            </w:r>
          </w:p>
        </w:tc>
        <w:tc>
          <w:tcPr>
            <w:tcW w:w="1985" w:type="dxa"/>
            <w:tcBorders>
              <w:top w:val="nil"/>
              <w:left w:val="nil"/>
              <w:bottom w:val="nil"/>
              <w:right w:val="nil"/>
            </w:tcBorders>
            <w:shd w:val="clear" w:color="auto" w:fill="auto"/>
            <w:noWrap/>
            <w:vAlign w:val="bottom"/>
            <w:hideMark/>
          </w:tcPr>
          <w:p w:rsidR="0098527B" w:rsidRPr="00B2496F" w:rsidRDefault="0098527B" w:rsidP="005A7088">
            <w:pPr>
              <w:spacing w:after="0" w:line="240" w:lineRule="auto"/>
              <w:rPr>
                <w:rFonts w:ascii="Arial" w:eastAsia="Times New Roman" w:hAnsi="Arial" w:cs="Arial"/>
                <w:color w:val="000000"/>
                <w:sz w:val="20"/>
                <w:lang w:eastAsia="nl-NL"/>
              </w:rPr>
            </w:pPr>
            <w:r w:rsidRPr="00B2496F">
              <w:rPr>
                <w:rFonts w:ascii="Arial" w:eastAsia="Times New Roman" w:hAnsi="Arial" w:cs="Arial"/>
                <w:color w:val="000000"/>
                <w:sz w:val="20"/>
                <w:lang w:eastAsia="nl-NL"/>
              </w:rPr>
              <w:t>I675</w:t>
            </w:r>
          </w:p>
        </w:tc>
      </w:tr>
    </w:tbl>
    <w:p w:rsidR="0098527B" w:rsidRPr="00B2496F" w:rsidRDefault="0098527B" w:rsidP="0098527B">
      <w:pPr>
        <w:pStyle w:val="Geenafstand"/>
        <w:spacing w:line="480" w:lineRule="auto"/>
        <w:jc w:val="both"/>
        <w:rPr>
          <w:rFonts w:ascii="Arial" w:hAnsi="Arial" w:cs="Arial"/>
          <w:sz w:val="20"/>
          <w:lang w:val="en-US"/>
        </w:rPr>
      </w:pPr>
    </w:p>
    <w:p w:rsidR="0098527B" w:rsidRPr="00B2496F" w:rsidRDefault="0098527B" w:rsidP="0098527B">
      <w:pPr>
        <w:rPr>
          <w:rFonts w:ascii="Arial" w:hAnsi="Arial" w:cs="Arial"/>
          <w:sz w:val="20"/>
        </w:rPr>
      </w:pPr>
      <w:r w:rsidRPr="00B2496F">
        <w:rPr>
          <w:rFonts w:ascii="Arial" w:hAnsi="Arial" w:cs="Arial"/>
          <w:sz w:val="20"/>
        </w:rPr>
        <w:br w:type="page"/>
      </w:r>
    </w:p>
    <w:p w:rsidR="0098527B" w:rsidRPr="00B2496F" w:rsidRDefault="0098527B" w:rsidP="0098527B">
      <w:pPr>
        <w:pStyle w:val="aParagraafkop"/>
        <w:rPr>
          <w:b w:val="0"/>
        </w:rPr>
      </w:pPr>
      <w:r w:rsidRPr="00B2496F">
        <w:rPr>
          <w:rStyle w:val="gPlaatjenrChar"/>
          <w:b/>
          <w:bCs/>
          <w:iCs/>
        </w:rPr>
        <w:lastRenderedPageBreak/>
        <w:t>Supplementary Table 2:</w:t>
      </w:r>
      <w:r w:rsidRPr="00B2496F">
        <w:t xml:space="preserve"> </w:t>
      </w:r>
      <w:r w:rsidRPr="00B2496F">
        <w:rPr>
          <w:b w:val="0"/>
        </w:rPr>
        <w:t xml:space="preserve">Age- and sex- standardized CVD mortality rates per country </w:t>
      </w:r>
    </w:p>
    <w:p w:rsidR="0098527B" w:rsidRPr="00B2496F" w:rsidRDefault="0098527B" w:rsidP="0098527B">
      <w:pPr>
        <w:spacing w:after="0"/>
        <w:rPr>
          <w:rFonts w:ascii="Arial" w:eastAsia="Calibri" w:hAnsi="Arial" w:cs="Arial"/>
          <w:sz w:val="18"/>
          <w:szCs w:val="18"/>
          <w:lang w:val="en-GB" w:eastAsia="nl-NL"/>
        </w:rPr>
        <w:sectPr w:rsidR="0098527B" w:rsidRPr="00B2496F" w:rsidSect="0098527B">
          <w:type w:val="continuous"/>
          <w:pgSz w:w="12240" w:h="15840"/>
          <w:pgMar w:top="1276" w:right="1440" w:bottom="1276" w:left="1440" w:header="284" w:footer="31" w:gutter="0"/>
          <w:cols w:space="720"/>
          <w:docGrid w:linePitch="360"/>
        </w:sectPr>
      </w:pPr>
    </w:p>
    <w:tbl>
      <w:tblPr>
        <w:tblW w:w="4335" w:type="dxa"/>
        <w:tblInd w:w="55" w:type="dxa"/>
        <w:tblCellMar>
          <w:left w:w="70" w:type="dxa"/>
          <w:right w:w="70" w:type="dxa"/>
        </w:tblCellMar>
        <w:tblLook w:val="04A0" w:firstRow="1" w:lastRow="0" w:firstColumn="1" w:lastColumn="0" w:noHBand="0" w:noVBand="1"/>
      </w:tblPr>
      <w:tblGrid>
        <w:gridCol w:w="1500"/>
        <w:gridCol w:w="1842"/>
        <w:gridCol w:w="993"/>
      </w:tblGrid>
      <w:tr w:rsidR="0098527B" w:rsidRPr="00B2496F" w:rsidTr="005A7088">
        <w:trPr>
          <w:trHeight w:val="18"/>
        </w:trPr>
        <w:tc>
          <w:tcPr>
            <w:tcW w:w="1500" w:type="dxa"/>
            <w:tcBorders>
              <w:top w:val="single" w:sz="4" w:space="0" w:color="auto"/>
              <w:left w:val="single" w:sz="4" w:space="0" w:color="auto"/>
              <w:bottom w:val="single" w:sz="4" w:space="0" w:color="auto"/>
            </w:tcBorders>
            <w:shd w:val="clear" w:color="000000" w:fill="D3D3D3"/>
            <w:vAlign w:val="center"/>
            <w:hideMark/>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Countries</w:t>
            </w:r>
          </w:p>
        </w:tc>
        <w:tc>
          <w:tcPr>
            <w:tcW w:w="1842" w:type="dxa"/>
            <w:tcBorders>
              <w:top w:val="single" w:sz="4" w:space="0" w:color="auto"/>
              <w:bottom w:val="single" w:sz="4" w:space="0" w:color="auto"/>
            </w:tcBorders>
            <w:shd w:val="clear" w:color="000000" w:fill="D3D3D3"/>
            <w:vAlign w:val="center"/>
            <w:hideMark/>
          </w:tcPr>
          <w:p w:rsidR="0098527B" w:rsidRPr="00B2496F" w:rsidRDefault="0098527B" w:rsidP="005A7088">
            <w:pPr>
              <w:spacing w:after="0"/>
              <w:jc w:val="center"/>
              <w:rPr>
                <w:rFonts w:ascii="Arial" w:eastAsia="Calibri" w:hAnsi="Arial" w:cs="Arial"/>
                <w:b/>
                <w:sz w:val="18"/>
                <w:szCs w:val="18"/>
                <w:lang w:val="en-GB" w:eastAsia="nl-NL"/>
              </w:rPr>
            </w:pPr>
            <w:r w:rsidRPr="00B2496F">
              <w:rPr>
                <w:rFonts w:ascii="Arial" w:eastAsia="Calibri" w:hAnsi="Arial" w:cs="Arial"/>
                <w:b/>
                <w:sz w:val="18"/>
                <w:szCs w:val="18"/>
                <w:lang w:val="en-GB" w:eastAsia="nl-NL"/>
              </w:rPr>
              <w:t>Age- and sex- standardized CVD mortality rates (per 100,000 persons)</w:t>
            </w:r>
          </w:p>
        </w:tc>
        <w:tc>
          <w:tcPr>
            <w:tcW w:w="993" w:type="dxa"/>
            <w:tcBorders>
              <w:top w:val="single" w:sz="4" w:space="0" w:color="auto"/>
              <w:bottom w:val="single" w:sz="4" w:space="0" w:color="auto"/>
              <w:right w:val="single" w:sz="4" w:space="0" w:color="auto"/>
            </w:tcBorders>
            <w:shd w:val="clear" w:color="000000" w:fill="D3D3D3"/>
            <w:vAlign w:val="center"/>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Year collected</w:t>
            </w:r>
          </w:p>
        </w:tc>
      </w:tr>
      <w:tr w:rsidR="0098527B" w:rsidRPr="00B2496F" w:rsidTr="005A7088">
        <w:trPr>
          <w:trHeight w:val="18"/>
        </w:trPr>
        <w:tc>
          <w:tcPr>
            <w:tcW w:w="1500" w:type="dxa"/>
            <w:tcBorders>
              <w:top w:val="single" w:sz="4" w:space="0" w:color="auto"/>
              <w:left w:val="single" w:sz="4" w:space="0" w:color="auto"/>
            </w:tcBorders>
            <w:shd w:val="clear" w:color="auto" w:fill="9BBB59"/>
            <w:vAlign w:val="center"/>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Low risk region</w:t>
            </w:r>
          </w:p>
        </w:tc>
        <w:tc>
          <w:tcPr>
            <w:tcW w:w="1842" w:type="dxa"/>
            <w:tcBorders>
              <w:top w:val="single" w:sz="4" w:space="0" w:color="auto"/>
            </w:tcBorders>
            <w:shd w:val="clear" w:color="auto" w:fill="9BBB59"/>
            <w:vAlign w:val="center"/>
          </w:tcPr>
          <w:p w:rsidR="0098527B" w:rsidRPr="00B2496F" w:rsidRDefault="0098527B" w:rsidP="005A7088">
            <w:pPr>
              <w:spacing w:after="0"/>
              <w:jc w:val="center"/>
              <w:rPr>
                <w:rFonts w:ascii="Arial" w:eastAsia="Calibri" w:hAnsi="Arial" w:cs="Arial"/>
                <w:b/>
                <w:sz w:val="18"/>
                <w:szCs w:val="18"/>
                <w:lang w:val="en-GB" w:eastAsia="nl-NL"/>
              </w:rPr>
            </w:pPr>
          </w:p>
        </w:tc>
        <w:tc>
          <w:tcPr>
            <w:tcW w:w="993" w:type="dxa"/>
            <w:tcBorders>
              <w:top w:val="single" w:sz="4" w:space="0" w:color="auto"/>
              <w:right w:val="single" w:sz="4" w:space="0" w:color="auto"/>
            </w:tcBorders>
            <w:shd w:val="clear" w:color="auto" w:fill="9BBB59"/>
            <w:vAlign w:val="center"/>
          </w:tcPr>
          <w:p w:rsidR="0098527B" w:rsidRPr="00B2496F" w:rsidRDefault="0098527B" w:rsidP="005A7088">
            <w:pPr>
              <w:spacing w:after="0"/>
              <w:rPr>
                <w:rFonts w:ascii="Arial" w:eastAsia="Calibri" w:hAnsi="Arial" w:cs="Arial"/>
                <w:b/>
                <w:sz w:val="18"/>
                <w:szCs w:val="18"/>
                <w:lang w:val="en-GB" w:eastAsia="nl-NL"/>
              </w:rPr>
            </w:pP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France</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70.9</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Israel</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76.7</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Spain</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89.4</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Netherlands</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89.9</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Switzerland</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90.2</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Denmark</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90.4</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Norway</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90.8</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Luxembourg</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92.9</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Belgium</w:t>
            </w:r>
          </w:p>
        </w:tc>
        <w:tc>
          <w:tcPr>
            <w:tcW w:w="1842" w:type="dxa"/>
            <w:tcBorders>
              <w:top w:val="nil"/>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99.2</w:t>
            </w:r>
          </w:p>
        </w:tc>
        <w:tc>
          <w:tcPr>
            <w:tcW w:w="993" w:type="dxa"/>
            <w:tcBorders>
              <w:top w:val="nil"/>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bottom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United Kingdom</w:t>
            </w:r>
          </w:p>
        </w:tc>
        <w:tc>
          <w:tcPr>
            <w:tcW w:w="1842" w:type="dxa"/>
            <w:tcBorders>
              <w:top w:val="nil"/>
              <w:bottom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99.7</w:t>
            </w:r>
          </w:p>
        </w:tc>
        <w:tc>
          <w:tcPr>
            <w:tcW w:w="993" w:type="dxa"/>
            <w:tcBorders>
              <w:top w:val="nil"/>
              <w:bottom w:val="single" w:sz="4" w:space="0" w:color="auto"/>
              <w:right w:val="single" w:sz="4" w:space="0" w:color="auto"/>
            </w:tcBorders>
            <w:shd w:val="clear" w:color="auto" w:fill="9BBB59"/>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4335" w:type="dxa"/>
            <w:gridSpan w:val="3"/>
            <w:tcBorders>
              <w:top w:val="single" w:sz="4" w:space="0" w:color="auto"/>
              <w:left w:val="single" w:sz="4" w:space="0" w:color="auto"/>
              <w:right w:val="single" w:sz="4" w:space="0" w:color="auto"/>
            </w:tcBorders>
            <w:shd w:val="clear" w:color="auto" w:fill="FFFF37"/>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Moderate risk region</w:t>
            </w:r>
          </w:p>
        </w:tc>
      </w:tr>
      <w:tr w:rsidR="0098527B" w:rsidRPr="00B2496F" w:rsidTr="005A7088">
        <w:trPr>
          <w:trHeight w:val="18"/>
        </w:trPr>
        <w:tc>
          <w:tcPr>
            <w:tcW w:w="1500" w:type="dxa"/>
            <w:tcBorders>
              <w:left w:val="single" w:sz="4" w:space="0" w:color="auto"/>
            </w:tcBorders>
            <w:shd w:val="clear" w:color="auto" w:fill="FFFF37"/>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Iceland</w:t>
            </w:r>
          </w:p>
        </w:tc>
        <w:tc>
          <w:tcPr>
            <w:tcW w:w="1842" w:type="dxa"/>
            <w:shd w:val="clear" w:color="auto" w:fill="FFFF37"/>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101.0</w:t>
            </w:r>
          </w:p>
        </w:tc>
        <w:tc>
          <w:tcPr>
            <w:tcW w:w="993" w:type="dxa"/>
            <w:tcBorders>
              <w:right w:val="single" w:sz="4" w:space="0" w:color="auto"/>
            </w:tcBorders>
            <w:shd w:val="clear" w:color="auto" w:fill="FFFF37"/>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Portugal</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107.9</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Sweden</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109.0</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Italy</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110.1</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FFF37"/>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San Marino</w:t>
            </w:r>
          </w:p>
        </w:tc>
        <w:tc>
          <w:tcPr>
            <w:tcW w:w="1842" w:type="dxa"/>
            <w:tcBorders>
              <w:top w:val="nil"/>
            </w:tcBorders>
            <w:shd w:val="clear" w:color="auto" w:fill="FFFF37"/>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FFFF37"/>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Ireland</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111.5</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Cyprus</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111.5</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Finland</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128.5</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Austria</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130.9</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Malta</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133.3</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FFF37"/>
            <w:vAlign w:val="center"/>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lang w:eastAsia="nl-NL"/>
              </w:rPr>
              <w:t>USA</w:t>
            </w:r>
          </w:p>
        </w:tc>
        <w:tc>
          <w:tcPr>
            <w:tcW w:w="1842" w:type="dxa"/>
            <w:tcBorders>
              <w:top w:val="nil"/>
            </w:tcBorders>
            <w:shd w:val="clear" w:color="auto" w:fill="FFFF37"/>
            <w:vAlign w:val="center"/>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lang w:eastAsia="nl-NL"/>
              </w:rPr>
              <w:t>131.8</w:t>
            </w:r>
          </w:p>
        </w:tc>
        <w:tc>
          <w:tcPr>
            <w:tcW w:w="993" w:type="dxa"/>
            <w:tcBorders>
              <w:top w:val="nil"/>
              <w:right w:val="single" w:sz="4" w:space="0" w:color="auto"/>
            </w:tcBorders>
            <w:shd w:val="clear" w:color="auto" w:fill="FFFF37"/>
            <w:vAlign w:val="center"/>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lang w:eastAsia="nl-NL"/>
              </w:rPr>
              <w:t>2016</w:t>
            </w:r>
          </w:p>
        </w:tc>
      </w:tr>
      <w:tr w:rsidR="0098527B" w:rsidRPr="00B2496F" w:rsidTr="005A7088">
        <w:trPr>
          <w:trHeight w:val="18"/>
        </w:trPr>
        <w:tc>
          <w:tcPr>
            <w:tcW w:w="1500" w:type="dxa"/>
            <w:tcBorders>
              <w:top w:val="nil"/>
              <w:lef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Greece</w:t>
            </w:r>
          </w:p>
        </w:tc>
        <w:tc>
          <w:tcPr>
            <w:tcW w:w="1842" w:type="dxa"/>
            <w:tcBorders>
              <w:top w:val="nil"/>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138.8</w:t>
            </w:r>
          </w:p>
        </w:tc>
        <w:tc>
          <w:tcPr>
            <w:tcW w:w="993" w:type="dxa"/>
            <w:tcBorders>
              <w:top w:val="nil"/>
              <w:right w:val="single" w:sz="4" w:space="0" w:color="auto"/>
            </w:tcBorders>
            <w:shd w:val="clear" w:color="auto" w:fill="FFFF37"/>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Germany</w:t>
            </w:r>
          </w:p>
        </w:tc>
        <w:tc>
          <w:tcPr>
            <w:tcW w:w="1842" w:type="dxa"/>
            <w:tcBorders>
              <w:top w:val="nil"/>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139.0</w:t>
            </w:r>
          </w:p>
        </w:tc>
        <w:tc>
          <w:tcPr>
            <w:tcW w:w="993" w:type="dxa"/>
            <w:tcBorders>
              <w:top w:val="nil"/>
              <w:right w:val="single" w:sz="4" w:space="0" w:color="auto"/>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bottom w:val="single" w:sz="4" w:space="0" w:color="auto"/>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Slovenia</w:t>
            </w:r>
          </w:p>
        </w:tc>
        <w:tc>
          <w:tcPr>
            <w:tcW w:w="1842" w:type="dxa"/>
            <w:tcBorders>
              <w:top w:val="nil"/>
              <w:bottom w:val="single" w:sz="4" w:space="0" w:color="auto"/>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143.3</w:t>
            </w:r>
          </w:p>
        </w:tc>
        <w:tc>
          <w:tcPr>
            <w:tcW w:w="993" w:type="dxa"/>
            <w:tcBorders>
              <w:top w:val="nil"/>
              <w:bottom w:val="single" w:sz="4" w:space="0" w:color="auto"/>
              <w:right w:val="single" w:sz="4" w:space="0" w:color="auto"/>
            </w:tcBorders>
            <w:shd w:val="clear" w:color="auto" w:fill="FFFF00"/>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bl>
    <w:p w:rsidR="0098527B" w:rsidRPr="00B2496F" w:rsidRDefault="0098527B" w:rsidP="0098527B">
      <w:pPr>
        <w:pStyle w:val="Geenafstand"/>
        <w:spacing w:line="480" w:lineRule="auto"/>
        <w:jc w:val="both"/>
        <w:rPr>
          <w:rFonts w:ascii="Arial" w:hAnsi="Arial" w:cs="Arial"/>
          <w:sz w:val="20"/>
          <w:lang w:val="en-US"/>
        </w:rPr>
      </w:pPr>
    </w:p>
    <w:p w:rsidR="0098527B" w:rsidRPr="00B2496F" w:rsidRDefault="0098527B" w:rsidP="0098527B">
      <w:pPr>
        <w:pStyle w:val="Geenafstand"/>
        <w:spacing w:line="360" w:lineRule="auto"/>
        <w:jc w:val="both"/>
        <w:rPr>
          <w:rFonts w:ascii="Arial" w:hAnsi="Arial" w:cs="Arial"/>
          <w:sz w:val="18"/>
          <w:lang w:val="en-US"/>
        </w:rPr>
      </w:pPr>
      <w:r w:rsidRPr="00B2496F">
        <w:rPr>
          <w:rFonts w:ascii="Arial" w:hAnsi="Arial" w:cs="Arial"/>
          <w:sz w:val="18"/>
          <w:lang w:val="en-US"/>
        </w:rPr>
        <w:t>Countries without available population or incidence data in the WHO database (indicated by - ) were grouped using rates available from neighboring countries</w:t>
      </w:r>
    </w:p>
    <w:p w:rsidR="0098527B" w:rsidRPr="00B2496F" w:rsidRDefault="0098527B" w:rsidP="0098527B">
      <w:pPr>
        <w:pStyle w:val="Geenafstand"/>
        <w:spacing w:line="480" w:lineRule="auto"/>
        <w:jc w:val="both"/>
        <w:rPr>
          <w:rFonts w:ascii="Arial" w:hAnsi="Arial" w:cs="Arial"/>
          <w:sz w:val="20"/>
          <w:lang w:val="en-US"/>
        </w:rPr>
      </w:pPr>
    </w:p>
    <w:p w:rsidR="0098527B" w:rsidRPr="00B2496F" w:rsidRDefault="0098527B" w:rsidP="0098527B">
      <w:pPr>
        <w:pStyle w:val="Geenafstand"/>
        <w:spacing w:line="480" w:lineRule="auto"/>
        <w:jc w:val="both"/>
        <w:rPr>
          <w:rFonts w:ascii="Arial" w:hAnsi="Arial" w:cs="Arial"/>
          <w:sz w:val="20"/>
          <w:lang w:val="en-US"/>
        </w:rPr>
      </w:pPr>
    </w:p>
    <w:p w:rsidR="0098527B" w:rsidRPr="00B2496F" w:rsidRDefault="0098527B" w:rsidP="0098527B">
      <w:pPr>
        <w:pStyle w:val="Geenafstand"/>
        <w:spacing w:line="480" w:lineRule="auto"/>
        <w:jc w:val="both"/>
        <w:rPr>
          <w:rFonts w:ascii="Arial" w:hAnsi="Arial" w:cs="Arial"/>
          <w:sz w:val="20"/>
          <w:lang w:val="en-US"/>
        </w:rPr>
      </w:pPr>
    </w:p>
    <w:tbl>
      <w:tblPr>
        <w:tblW w:w="4335" w:type="dxa"/>
        <w:tblInd w:w="55" w:type="dxa"/>
        <w:tblCellMar>
          <w:left w:w="70" w:type="dxa"/>
          <w:right w:w="70" w:type="dxa"/>
        </w:tblCellMar>
        <w:tblLook w:val="04A0" w:firstRow="1" w:lastRow="0" w:firstColumn="1" w:lastColumn="0" w:noHBand="0" w:noVBand="1"/>
      </w:tblPr>
      <w:tblGrid>
        <w:gridCol w:w="1500"/>
        <w:gridCol w:w="1842"/>
        <w:gridCol w:w="993"/>
      </w:tblGrid>
      <w:tr w:rsidR="0098527B" w:rsidRPr="00B2496F" w:rsidTr="005A7088">
        <w:trPr>
          <w:trHeight w:val="18"/>
        </w:trPr>
        <w:tc>
          <w:tcPr>
            <w:tcW w:w="1500" w:type="dxa"/>
            <w:tcBorders>
              <w:top w:val="single" w:sz="4" w:space="0" w:color="auto"/>
              <w:left w:val="single" w:sz="4" w:space="0" w:color="auto"/>
              <w:bottom w:val="single" w:sz="4" w:space="0" w:color="auto"/>
            </w:tcBorders>
            <w:shd w:val="clear" w:color="000000" w:fill="D3D3D3"/>
            <w:vAlign w:val="center"/>
            <w:hideMark/>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Countries</w:t>
            </w:r>
          </w:p>
        </w:tc>
        <w:tc>
          <w:tcPr>
            <w:tcW w:w="1842" w:type="dxa"/>
            <w:tcBorders>
              <w:top w:val="single" w:sz="4" w:space="0" w:color="auto"/>
              <w:bottom w:val="single" w:sz="4" w:space="0" w:color="auto"/>
            </w:tcBorders>
            <w:shd w:val="clear" w:color="000000" w:fill="D3D3D3"/>
            <w:vAlign w:val="center"/>
            <w:hideMark/>
          </w:tcPr>
          <w:p w:rsidR="0098527B" w:rsidRPr="00B2496F" w:rsidRDefault="0098527B" w:rsidP="005A7088">
            <w:pPr>
              <w:spacing w:after="0"/>
              <w:jc w:val="center"/>
              <w:rPr>
                <w:rFonts w:ascii="Arial" w:eastAsia="Calibri" w:hAnsi="Arial" w:cs="Arial"/>
                <w:b/>
                <w:sz w:val="18"/>
                <w:szCs w:val="18"/>
                <w:lang w:val="en-GB" w:eastAsia="nl-NL"/>
              </w:rPr>
            </w:pPr>
            <w:r w:rsidRPr="00B2496F">
              <w:rPr>
                <w:rFonts w:ascii="Arial" w:eastAsia="Calibri" w:hAnsi="Arial" w:cs="Arial"/>
                <w:b/>
                <w:sz w:val="18"/>
                <w:szCs w:val="18"/>
                <w:lang w:val="en-GB" w:eastAsia="nl-NL"/>
              </w:rPr>
              <w:t>Age- and sex- standardized CVD mortality rates (per 100,000 persons)</w:t>
            </w:r>
          </w:p>
        </w:tc>
        <w:tc>
          <w:tcPr>
            <w:tcW w:w="993" w:type="dxa"/>
            <w:tcBorders>
              <w:top w:val="single" w:sz="4" w:space="0" w:color="auto"/>
              <w:bottom w:val="single" w:sz="4" w:space="0" w:color="auto"/>
              <w:right w:val="single" w:sz="4" w:space="0" w:color="auto"/>
            </w:tcBorders>
            <w:shd w:val="clear" w:color="000000" w:fill="D3D3D3"/>
            <w:vAlign w:val="center"/>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Year collected</w:t>
            </w:r>
          </w:p>
        </w:tc>
      </w:tr>
      <w:tr w:rsidR="0098527B" w:rsidRPr="00B2496F" w:rsidTr="005A7088">
        <w:trPr>
          <w:trHeight w:val="18"/>
        </w:trPr>
        <w:tc>
          <w:tcPr>
            <w:tcW w:w="4335" w:type="dxa"/>
            <w:gridSpan w:val="3"/>
            <w:tcBorders>
              <w:top w:val="single" w:sz="4" w:space="0" w:color="auto"/>
              <w:left w:val="single" w:sz="4" w:space="0" w:color="auto"/>
              <w:right w:val="single" w:sz="4" w:space="0" w:color="auto"/>
            </w:tcBorders>
            <w:shd w:val="clear" w:color="auto" w:fill="F79646"/>
          </w:tcPr>
          <w:p w:rsidR="0098527B" w:rsidRPr="00B2496F" w:rsidRDefault="0098527B" w:rsidP="005A7088">
            <w:pPr>
              <w:spacing w:after="0"/>
              <w:rPr>
                <w:rFonts w:ascii="Arial" w:eastAsia="Times New Roman" w:hAnsi="Arial" w:cs="Arial"/>
                <w:sz w:val="18"/>
                <w:szCs w:val="18"/>
                <w:lang w:val="en-GB" w:eastAsia="nl-NL"/>
              </w:rPr>
            </w:pPr>
            <w:r w:rsidRPr="00B2496F">
              <w:rPr>
                <w:rFonts w:ascii="Arial" w:eastAsia="Calibri" w:hAnsi="Arial" w:cs="Arial"/>
                <w:b/>
                <w:sz w:val="18"/>
                <w:szCs w:val="18"/>
              </w:rPr>
              <w:t>High risk region</w:t>
            </w:r>
          </w:p>
        </w:tc>
      </w:tr>
      <w:tr w:rsidR="0098527B" w:rsidRPr="00B2496F" w:rsidTr="005A7088">
        <w:trPr>
          <w:trHeight w:val="18"/>
        </w:trPr>
        <w:tc>
          <w:tcPr>
            <w:tcW w:w="1500" w:type="dxa"/>
            <w:tcBorders>
              <w:left w:val="single" w:sz="4" w:space="0" w:color="auto"/>
            </w:tcBorders>
            <w:shd w:val="clear" w:color="auto" w:fill="F79646"/>
          </w:tcPr>
          <w:p w:rsidR="0098527B" w:rsidRPr="00B2496F" w:rsidRDefault="0098527B" w:rsidP="005A7088">
            <w:pPr>
              <w:spacing w:after="0"/>
              <w:rPr>
                <w:rFonts w:ascii="Arial" w:eastAsia="Times New Roman" w:hAnsi="Arial" w:cs="Arial"/>
                <w:sz w:val="18"/>
                <w:szCs w:val="18"/>
                <w:lang w:val="en-GB" w:eastAsia="nl-NL"/>
              </w:rPr>
            </w:pPr>
            <w:r w:rsidRPr="00B2496F">
              <w:rPr>
                <w:rFonts w:ascii="Arial" w:eastAsia="Calibri" w:hAnsi="Arial" w:cs="Arial"/>
                <w:sz w:val="18"/>
                <w:szCs w:val="18"/>
              </w:rPr>
              <w:t>Albania</w:t>
            </w:r>
          </w:p>
        </w:tc>
        <w:tc>
          <w:tcPr>
            <w:tcW w:w="1842" w:type="dxa"/>
            <w:shd w:val="clear" w:color="auto" w:fill="F79646"/>
          </w:tcPr>
          <w:p w:rsidR="0098527B" w:rsidRPr="00B2496F" w:rsidRDefault="0098527B" w:rsidP="005A7088">
            <w:pPr>
              <w:spacing w:after="0"/>
              <w:rPr>
                <w:rFonts w:ascii="Arial" w:eastAsia="Times New Roman" w:hAnsi="Arial" w:cs="Arial"/>
                <w:sz w:val="18"/>
                <w:szCs w:val="18"/>
                <w:lang w:val="en-GB" w:eastAsia="nl-NL"/>
              </w:rPr>
            </w:pPr>
            <w:r w:rsidRPr="00B2496F">
              <w:rPr>
                <w:rFonts w:ascii="Arial" w:eastAsia="Calibri" w:hAnsi="Arial" w:cs="Arial"/>
                <w:sz w:val="18"/>
                <w:szCs w:val="18"/>
              </w:rPr>
              <w:t>184.5</w:t>
            </w:r>
          </w:p>
        </w:tc>
        <w:tc>
          <w:tcPr>
            <w:tcW w:w="993" w:type="dxa"/>
            <w:tcBorders>
              <w:right w:val="single" w:sz="4" w:space="0" w:color="auto"/>
            </w:tcBorders>
            <w:shd w:val="clear" w:color="auto" w:fill="F79646"/>
          </w:tcPr>
          <w:p w:rsidR="0098527B" w:rsidRPr="00B2496F" w:rsidRDefault="0098527B" w:rsidP="005A7088">
            <w:pPr>
              <w:spacing w:after="0"/>
              <w:rPr>
                <w:rFonts w:ascii="Arial" w:eastAsia="Times New Roman" w:hAnsi="Arial" w:cs="Arial"/>
                <w:sz w:val="18"/>
                <w:szCs w:val="18"/>
                <w:lang w:val="en-GB" w:eastAsia="nl-NL"/>
              </w:rPr>
            </w:pPr>
            <w:r w:rsidRPr="00B2496F">
              <w:rPr>
                <w:rFonts w:ascii="Arial" w:eastAsia="Calibri" w:hAnsi="Arial" w:cs="Arial"/>
                <w:sz w:val="18"/>
                <w:szCs w:val="18"/>
              </w:rPr>
              <w:t>2010</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Czech Republic</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195.0</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Turkey</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199.5</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Kazakhstan</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214.0</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Croatia</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214.6</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Poland</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223.8</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Estonia</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234.8</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Slovakia</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239.2</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Hungary</w:t>
            </w:r>
          </w:p>
        </w:tc>
        <w:tc>
          <w:tcPr>
            <w:tcW w:w="1842" w:type="dxa"/>
            <w:tcBorders>
              <w:top w:val="nil"/>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274.1</w:t>
            </w:r>
          </w:p>
        </w:tc>
        <w:tc>
          <w:tcPr>
            <w:tcW w:w="993" w:type="dxa"/>
            <w:tcBorders>
              <w:top w:val="nil"/>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bottom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Bosnia and Herzegovina</w:t>
            </w:r>
          </w:p>
        </w:tc>
        <w:tc>
          <w:tcPr>
            <w:tcW w:w="1842" w:type="dxa"/>
            <w:tcBorders>
              <w:top w:val="nil"/>
              <w:bottom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279.2</w:t>
            </w:r>
          </w:p>
        </w:tc>
        <w:tc>
          <w:tcPr>
            <w:tcW w:w="993" w:type="dxa"/>
            <w:tcBorders>
              <w:top w:val="nil"/>
              <w:bottom w:val="single" w:sz="4" w:space="0" w:color="auto"/>
              <w:right w:val="single" w:sz="4" w:space="0" w:color="auto"/>
            </w:tcBorders>
            <w:shd w:val="clear" w:color="auto" w:fill="F79646"/>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4335" w:type="dxa"/>
            <w:gridSpan w:val="3"/>
            <w:tcBorders>
              <w:top w:val="single" w:sz="4" w:space="0" w:color="auto"/>
              <w:left w:val="single" w:sz="4" w:space="0" w:color="auto"/>
              <w:right w:val="single" w:sz="4" w:space="0" w:color="auto"/>
            </w:tcBorders>
            <w:shd w:val="clear" w:color="auto" w:fill="C0504D"/>
          </w:tcPr>
          <w:p w:rsidR="0098527B" w:rsidRPr="00B2496F" w:rsidRDefault="0098527B" w:rsidP="005A7088">
            <w:pPr>
              <w:spacing w:after="0"/>
              <w:rPr>
                <w:rFonts w:ascii="Arial" w:eastAsia="Calibri" w:hAnsi="Arial" w:cs="Arial"/>
                <w:b/>
                <w:sz w:val="18"/>
                <w:szCs w:val="18"/>
                <w:lang w:val="en-GB" w:eastAsia="nl-NL"/>
              </w:rPr>
            </w:pPr>
            <w:r w:rsidRPr="00B2496F">
              <w:rPr>
                <w:rFonts w:ascii="Arial" w:eastAsia="Calibri" w:hAnsi="Arial" w:cs="Arial"/>
                <w:b/>
                <w:sz w:val="18"/>
                <w:szCs w:val="18"/>
                <w:lang w:val="en-GB" w:eastAsia="nl-NL"/>
              </w:rPr>
              <w:t>Very high risk region</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Armenia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306.3</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Lithuania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309.0</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Georgia</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309.6</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Latvia</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327.2</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Serbia</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329.1</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Romania</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330.5</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2016</w:t>
            </w:r>
          </w:p>
        </w:tc>
      </w:tr>
      <w:tr w:rsidR="0098527B" w:rsidRPr="00B2496F" w:rsidTr="000120E2">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Montenegro</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348.4</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2009</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Russian Federation</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368.8</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TFYR Macedonia</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387.8</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2013</w:t>
            </w:r>
          </w:p>
        </w:tc>
      </w:tr>
      <w:tr w:rsidR="0098527B" w:rsidRPr="00B2496F" w:rsidTr="005A7088">
        <w:trPr>
          <w:trHeight w:val="18"/>
        </w:trPr>
        <w:tc>
          <w:tcPr>
            <w:tcW w:w="1500" w:type="dxa"/>
            <w:tcBorders>
              <w:top w:val="nil"/>
              <w:lef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Belarus</w:t>
            </w:r>
          </w:p>
        </w:tc>
        <w:tc>
          <w:tcPr>
            <w:tcW w:w="1842" w:type="dxa"/>
            <w:tcBorders>
              <w:top w:val="nil"/>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395.4</w:t>
            </w:r>
          </w:p>
        </w:tc>
        <w:tc>
          <w:tcPr>
            <w:tcW w:w="993" w:type="dxa"/>
            <w:tcBorders>
              <w:top w:val="nil"/>
              <w:right w:val="single" w:sz="4" w:space="0" w:color="auto"/>
            </w:tcBorders>
            <w:shd w:val="clear" w:color="auto" w:fill="C0504D"/>
            <w:hideMark/>
          </w:tcPr>
          <w:p w:rsidR="0098527B" w:rsidRPr="00B2496F" w:rsidRDefault="0098527B" w:rsidP="005A7088">
            <w:pPr>
              <w:spacing w:after="0"/>
              <w:rPr>
                <w:rFonts w:ascii="Arial" w:eastAsia="Calibri" w:hAnsi="Arial" w:cs="Arial"/>
                <w:sz w:val="18"/>
                <w:szCs w:val="18"/>
                <w:lang w:val="en-GB" w:eastAsia="nl-NL"/>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Azerbaijan</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416.5</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2007</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Bulgaria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421.2</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Republic of Moldova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442.2</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2016</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Ukraine</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476.7</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Kyrgyzstan</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476.9</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Uzbekistan</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478.6</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2014</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Egypt</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543.7</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2015</w:t>
            </w: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Morocco</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Syria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Tunisia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Lebanon</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Algeria</w:t>
            </w:r>
          </w:p>
        </w:tc>
        <w:tc>
          <w:tcPr>
            <w:tcW w:w="1842" w:type="dxa"/>
            <w:tcBorders>
              <w:top w:val="nil"/>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r w:rsidR="0098527B" w:rsidRPr="00B2496F" w:rsidTr="005A7088">
        <w:trPr>
          <w:trHeight w:val="18"/>
        </w:trPr>
        <w:tc>
          <w:tcPr>
            <w:tcW w:w="1500" w:type="dxa"/>
            <w:tcBorders>
              <w:top w:val="nil"/>
              <w:left w:val="single" w:sz="4" w:space="0" w:color="auto"/>
              <w:bottom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Libya</w:t>
            </w:r>
          </w:p>
        </w:tc>
        <w:tc>
          <w:tcPr>
            <w:tcW w:w="1842" w:type="dxa"/>
            <w:tcBorders>
              <w:top w:val="nil"/>
              <w:bottom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r w:rsidRPr="00B2496F">
              <w:rPr>
                <w:rFonts w:ascii="Arial" w:eastAsia="Calibri" w:hAnsi="Arial" w:cs="Arial"/>
                <w:sz w:val="18"/>
                <w:szCs w:val="18"/>
              </w:rPr>
              <w:t>-</w:t>
            </w:r>
          </w:p>
        </w:tc>
        <w:tc>
          <w:tcPr>
            <w:tcW w:w="993" w:type="dxa"/>
            <w:tcBorders>
              <w:top w:val="nil"/>
              <w:bottom w:val="single" w:sz="4" w:space="0" w:color="auto"/>
              <w:right w:val="single" w:sz="4" w:space="0" w:color="auto"/>
            </w:tcBorders>
            <w:shd w:val="clear" w:color="auto" w:fill="C0504D"/>
          </w:tcPr>
          <w:p w:rsidR="0098527B" w:rsidRPr="00B2496F" w:rsidRDefault="0098527B" w:rsidP="005A7088">
            <w:pPr>
              <w:spacing w:after="0"/>
              <w:rPr>
                <w:rFonts w:ascii="Arial" w:eastAsia="Calibri" w:hAnsi="Arial" w:cs="Arial"/>
                <w:sz w:val="18"/>
                <w:szCs w:val="18"/>
              </w:rPr>
            </w:pPr>
          </w:p>
        </w:tc>
      </w:tr>
    </w:tbl>
    <w:p w:rsidR="0098527B" w:rsidRPr="00B2496F" w:rsidRDefault="0098527B" w:rsidP="0098527B">
      <w:pPr>
        <w:pStyle w:val="Geenafstand"/>
        <w:spacing w:line="480" w:lineRule="auto"/>
        <w:jc w:val="both"/>
        <w:rPr>
          <w:rFonts w:ascii="Arial" w:hAnsi="Arial" w:cs="Arial"/>
          <w:sz w:val="20"/>
        </w:rPr>
        <w:sectPr w:rsidR="0098527B" w:rsidRPr="00B2496F" w:rsidSect="001A3C40">
          <w:type w:val="continuous"/>
          <w:pgSz w:w="12240" w:h="15840"/>
          <w:pgMar w:top="1276" w:right="1440" w:bottom="1276" w:left="1440" w:header="284" w:footer="31" w:gutter="0"/>
          <w:cols w:num="2" w:space="720"/>
          <w:docGrid w:linePitch="360"/>
        </w:sectPr>
      </w:pPr>
    </w:p>
    <w:p w:rsidR="0098527B" w:rsidRPr="00B2496F" w:rsidRDefault="0098527B" w:rsidP="0098527B">
      <w:pPr>
        <w:pStyle w:val="Geenafstand"/>
        <w:spacing w:line="480" w:lineRule="auto"/>
        <w:jc w:val="both"/>
        <w:rPr>
          <w:rFonts w:ascii="Arial" w:hAnsi="Arial" w:cs="Arial"/>
          <w:sz w:val="20"/>
        </w:rPr>
      </w:pPr>
    </w:p>
    <w:p w:rsidR="0098527B" w:rsidRPr="00B2496F" w:rsidRDefault="0098527B" w:rsidP="0098527B">
      <w:pPr>
        <w:pStyle w:val="Geenafstand"/>
        <w:spacing w:line="480" w:lineRule="auto"/>
        <w:jc w:val="both"/>
        <w:rPr>
          <w:rFonts w:ascii="Arial" w:hAnsi="Arial" w:cs="Arial"/>
          <w:sz w:val="20"/>
        </w:rPr>
      </w:pPr>
    </w:p>
    <w:p w:rsidR="0098527B" w:rsidRPr="00B2496F" w:rsidRDefault="0098527B" w:rsidP="0098527B">
      <w:pPr>
        <w:rPr>
          <w:rFonts w:ascii="Arial" w:hAnsi="Arial" w:cs="Arial"/>
          <w:sz w:val="20"/>
        </w:rPr>
      </w:pPr>
      <w:r w:rsidRPr="00B2496F">
        <w:rPr>
          <w:rFonts w:ascii="Arial" w:hAnsi="Arial" w:cs="Arial"/>
          <w:sz w:val="20"/>
        </w:rPr>
        <w:br w:type="page"/>
      </w:r>
    </w:p>
    <w:p w:rsidR="0098527B" w:rsidRPr="00B2496F" w:rsidRDefault="0098527B" w:rsidP="0098527B">
      <w:pPr>
        <w:pStyle w:val="aParagraafkop"/>
      </w:pPr>
      <w:r w:rsidRPr="00B2496F">
        <w:lastRenderedPageBreak/>
        <w:t xml:space="preserve">Supplementary Table 3: </w:t>
      </w:r>
      <w:r w:rsidRPr="00B2496F">
        <w:rPr>
          <w:b w:val="0"/>
        </w:rPr>
        <w:t>Age- and sex-specific multiplication factors for fatal CVD events to total events in the different risk regions</w:t>
      </w:r>
      <w:r w:rsidRPr="00B2496F">
        <w:t xml:space="preserve"> </w:t>
      </w:r>
    </w:p>
    <w:tbl>
      <w:tblPr>
        <w:tblW w:w="6521" w:type="dxa"/>
        <w:tblLayout w:type="fixed"/>
        <w:tblCellMar>
          <w:left w:w="0" w:type="dxa"/>
          <w:right w:w="0" w:type="dxa"/>
        </w:tblCellMar>
        <w:tblLook w:val="04A0" w:firstRow="1" w:lastRow="0" w:firstColumn="1" w:lastColumn="0" w:noHBand="0" w:noVBand="1"/>
      </w:tblPr>
      <w:tblGrid>
        <w:gridCol w:w="1276"/>
        <w:gridCol w:w="1701"/>
        <w:gridCol w:w="871"/>
        <w:gridCol w:w="1681"/>
        <w:gridCol w:w="992"/>
      </w:tblGrid>
      <w:tr w:rsidR="0098527B" w:rsidRPr="00B2496F" w:rsidTr="005A7088">
        <w:trPr>
          <w:trHeight w:val="330"/>
        </w:trPr>
        <w:tc>
          <w:tcPr>
            <w:tcW w:w="1276" w:type="dxa"/>
            <w:tcBorders>
              <w:top w:val="single" w:sz="8" w:space="0" w:color="auto"/>
              <w:left w:val="nil"/>
              <w:bottom w:val="nil"/>
              <w:right w:val="nil"/>
            </w:tcBorders>
            <w:tcMar>
              <w:top w:w="0" w:type="dxa"/>
              <w:left w:w="70" w:type="dxa"/>
              <w:bottom w:w="0" w:type="dxa"/>
              <w:right w:w="70" w:type="dxa"/>
            </w:tcMar>
            <w:vAlign w:val="center"/>
            <w:hideMark/>
          </w:tcPr>
          <w:p w:rsidR="0098527B" w:rsidRPr="00B2496F" w:rsidRDefault="0098527B" w:rsidP="005A7088">
            <w:pPr>
              <w:spacing w:after="0" w:line="240" w:lineRule="auto"/>
              <w:rPr>
                <w:rFonts w:ascii="Arial" w:hAnsi="Arial" w:cs="Arial"/>
                <w:b/>
                <w:bCs/>
                <w:color w:val="000000"/>
                <w:sz w:val="18"/>
                <w:szCs w:val="18"/>
                <w:lang w:eastAsia="nl-NL"/>
              </w:rPr>
            </w:pPr>
          </w:p>
        </w:tc>
        <w:tc>
          <w:tcPr>
            <w:tcW w:w="2572" w:type="dxa"/>
            <w:gridSpan w:val="2"/>
            <w:tcBorders>
              <w:top w:val="single" w:sz="8" w:space="0" w:color="auto"/>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color w:val="000000"/>
                <w:sz w:val="18"/>
                <w:szCs w:val="18"/>
                <w:lang w:eastAsia="nl-NL"/>
              </w:rPr>
            </w:pPr>
            <w:r w:rsidRPr="00B2496F">
              <w:rPr>
                <w:rFonts w:ascii="Arial" w:hAnsi="Arial" w:cs="Arial"/>
                <w:b/>
                <w:color w:val="000000"/>
                <w:sz w:val="18"/>
                <w:szCs w:val="18"/>
                <w:lang w:val="en-GB" w:eastAsia="nl-NL"/>
              </w:rPr>
              <w:t>Low/moderate risk region</w:t>
            </w:r>
          </w:p>
        </w:tc>
        <w:tc>
          <w:tcPr>
            <w:tcW w:w="2673" w:type="dxa"/>
            <w:gridSpan w:val="2"/>
            <w:tcBorders>
              <w:top w:val="single" w:sz="8" w:space="0" w:color="auto"/>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color w:val="000000"/>
                <w:sz w:val="18"/>
                <w:szCs w:val="18"/>
                <w:lang w:eastAsia="nl-NL"/>
              </w:rPr>
            </w:pPr>
            <w:r w:rsidRPr="00B2496F">
              <w:rPr>
                <w:rFonts w:ascii="Arial" w:hAnsi="Arial" w:cs="Arial"/>
                <w:b/>
                <w:color w:val="000000"/>
                <w:sz w:val="18"/>
                <w:szCs w:val="18"/>
                <w:lang w:val="en-GB" w:eastAsia="nl-NL"/>
              </w:rPr>
              <w:t>High/very high risk region</w:t>
            </w:r>
          </w:p>
        </w:tc>
      </w:tr>
      <w:tr w:rsidR="0098527B" w:rsidRPr="00B2496F" w:rsidTr="005A7088">
        <w:trPr>
          <w:trHeight w:val="330"/>
        </w:trPr>
        <w:tc>
          <w:tcPr>
            <w:tcW w:w="1276" w:type="dxa"/>
            <w:tcMar>
              <w:top w:w="0" w:type="dxa"/>
              <w:left w:w="70" w:type="dxa"/>
              <w:bottom w:w="0" w:type="dxa"/>
              <w:right w:w="70" w:type="dxa"/>
            </w:tcMar>
            <w:vAlign w:val="center"/>
          </w:tcPr>
          <w:p w:rsidR="0098527B" w:rsidRPr="00B2496F" w:rsidRDefault="0098527B" w:rsidP="005A7088">
            <w:pPr>
              <w:spacing w:after="0" w:line="240" w:lineRule="auto"/>
              <w:rPr>
                <w:rFonts w:ascii="Arial" w:hAnsi="Arial" w:cs="Arial"/>
                <w:b/>
                <w:bCs/>
                <w:color w:val="000000"/>
                <w:sz w:val="18"/>
                <w:szCs w:val="18"/>
                <w:lang w:eastAsia="nl-NL"/>
              </w:rPr>
            </w:pPr>
            <w:r w:rsidRPr="00B2496F">
              <w:rPr>
                <w:rFonts w:ascii="Arial" w:hAnsi="Arial" w:cs="Arial"/>
                <w:b/>
                <w:bCs/>
                <w:color w:val="000000"/>
                <w:sz w:val="18"/>
                <w:szCs w:val="18"/>
                <w:lang w:val="en-GB" w:eastAsia="nl-NL"/>
              </w:rPr>
              <w:t>Age group</w:t>
            </w:r>
          </w:p>
        </w:tc>
        <w:tc>
          <w:tcPr>
            <w:tcW w:w="170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i/>
                <w:color w:val="000000"/>
                <w:sz w:val="18"/>
                <w:szCs w:val="18"/>
                <w:lang w:eastAsia="nl-NL"/>
              </w:rPr>
            </w:pPr>
            <w:r w:rsidRPr="00B2496F">
              <w:rPr>
                <w:rFonts w:ascii="Arial" w:hAnsi="Arial" w:cs="Arial"/>
                <w:i/>
                <w:color w:val="000000"/>
                <w:sz w:val="18"/>
                <w:szCs w:val="18"/>
                <w:lang w:val="en-GB" w:eastAsia="nl-NL"/>
              </w:rPr>
              <w:t>Men</w:t>
            </w:r>
          </w:p>
        </w:tc>
        <w:tc>
          <w:tcPr>
            <w:tcW w:w="871" w:type="dxa"/>
            <w:tcMar>
              <w:top w:w="0" w:type="dxa"/>
              <w:left w:w="70" w:type="dxa"/>
              <w:bottom w:w="0" w:type="dxa"/>
              <w:right w:w="70" w:type="dxa"/>
            </w:tcMar>
            <w:vAlign w:val="center"/>
            <w:hideMark/>
          </w:tcPr>
          <w:p w:rsidR="0098527B" w:rsidRPr="00B2496F" w:rsidRDefault="0098527B" w:rsidP="005A7088">
            <w:pPr>
              <w:spacing w:after="0" w:line="240" w:lineRule="auto"/>
              <w:ind w:left="-196" w:firstLine="196"/>
              <w:jc w:val="center"/>
              <w:rPr>
                <w:rFonts w:ascii="Arial" w:hAnsi="Arial" w:cs="Arial"/>
                <w:i/>
                <w:color w:val="000000"/>
                <w:sz w:val="18"/>
                <w:szCs w:val="18"/>
                <w:lang w:eastAsia="nl-NL"/>
              </w:rPr>
            </w:pPr>
            <w:r w:rsidRPr="00B2496F">
              <w:rPr>
                <w:rFonts w:ascii="Arial" w:hAnsi="Arial" w:cs="Arial"/>
                <w:i/>
                <w:color w:val="000000"/>
                <w:sz w:val="18"/>
                <w:szCs w:val="18"/>
                <w:lang w:val="en-GB" w:eastAsia="nl-NL"/>
              </w:rPr>
              <w:t>Women</w:t>
            </w:r>
          </w:p>
        </w:tc>
        <w:tc>
          <w:tcPr>
            <w:tcW w:w="168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i/>
                <w:color w:val="000000"/>
                <w:sz w:val="18"/>
                <w:szCs w:val="18"/>
                <w:lang w:eastAsia="nl-NL"/>
              </w:rPr>
            </w:pPr>
            <w:r w:rsidRPr="00B2496F">
              <w:rPr>
                <w:rFonts w:ascii="Arial" w:hAnsi="Arial" w:cs="Arial"/>
                <w:i/>
                <w:color w:val="000000"/>
                <w:sz w:val="18"/>
                <w:szCs w:val="18"/>
                <w:lang w:val="en-GB" w:eastAsia="nl-NL"/>
              </w:rPr>
              <w:t>Men</w:t>
            </w:r>
          </w:p>
        </w:tc>
        <w:tc>
          <w:tcPr>
            <w:tcW w:w="992"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i/>
                <w:color w:val="000000"/>
                <w:sz w:val="18"/>
                <w:szCs w:val="18"/>
                <w:lang w:eastAsia="nl-NL"/>
              </w:rPr>
            </w:pPr>
            <w:r w:rsidRPr="00B2496F">
              <w:rPr>
                <w:rFonts w:ascii="Arial" w:hAnsi="Arial" w:cs="Arial"/>
                <w:i/>
                <w:color w:val="000000"/>
                <w:sz w:val="18"/>
                <w:szCs w:val="18"/>
                <w:lang w:val="en-GB" w:eastAsia="nl-NL"/>
              </w:rPr>
              <w:t>Women</w:t>
            </w:r>
          </w:p>
        </w:tc>
      </w:tr>
      <w:tr w:rsidR="0098527B" w:rsidRPr="00B2496F" w:rsidTr="005A7088">
        <w:trPr>
          <w:trHeight w:val="330"/>
        </w:trPr>
        <w:tc>
          <w:tcPr>
            <w:tcW w:w="1276"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bCs/>
                <w:color w:val="000000"/>
                <w:sz w:val="18"/>
                <w:szCs w:val="18"/>
                <w:lang w:eastAsia="nl-NL"/>
              </w:rPr>
            </w:pPr>
            <w:r w:rsidRPr="00B2496F">
              <w:rPr>
                <w:rFonts w:ascii="Arial" w:hAnsi="Arial" w:cs="Arial"/>
                <w:b/>
                <w:bCs/>
                <w:color w:val="000000"/>
                <w:sz w:val="18"/>
                <w:szCs w:val="18"/>
                <w:lang w:val="en-GB" w:eastAsia="nl-NL"/>
              </w:rPr>
              <w:t>65-70</w:t>
            </w:r>
          </w:p>
        </w:tc>
        <w:tc>
          <w:tcPr>
            <w:tcW w:w="1701" w:type="dxa"/>
            <w:noWrap/>
            <w:tcMar>
              <w:top w:w="0" w:type="dxa"/>
              <w:left w:w="70" w:type="dxa"/>
              <w:bottom w:w="0" w:type="dxa"/>
              <w:right w:w="70" w:type="dxa"/>
            </w:tcMar>
            <w:vAlign w:val="bottom"/>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2.6</w:t>
            </w:r>
          </w:p>
        </w:tc>
        <w:tc>
          <w:tcPr>
            <w:tcW w:w="87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3.2</w:t>
            </w:r>
          </w:p>
        </w:tc>
        <w:tc>
          <w:tcPr>
            <w:tcW w:w="168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1.6</w:t>
            </w:r>
          </w:p>
        </w:tc>
        <w:tc>
          <w:tcPr>
            <w:tcW w:w="992"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2.5</w:t>
            </w:r>
          </w:p>
        </w:tc>
      </w:tr>
      <w:tr w:rsidR="0098527B" w:rsidRPr="00B2496F" w:rsidTr="005A7088">
        <w:trPr>
          <w:trHeight w:val="330"/>
        </w:trPr>
        <w:tc>
          <w:tcPr>
            <w:tcW w:w="1276"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bCs/>
                <w:color w:val="000000"/>
                <w:sz w:val="18"/>
                <w:szCs w:val="18"/>
                <w:lang w:eastAsia="nl-NL"/>
              </w:rPr>
            </w:pPr>
            <w:r w:rsidRPr="00B2496F">
              <w:rPr>
                <w:rFonts w:ascii="Arial" w:hAnsi="Arial" w:cs="Arial"/>
                <w:b/>
                <w:bCs/>
                <w:color w:val="000000"/>
                <w:sz w:val="18"/>
                <w:szCs w:val="18"/>
                <w:lang w:val="en-GB" w:eastAsia="nl-NL"/>
              </w:rPr>
              <w:t>70-75</w:t>
            </w:r>
          </w:p>
        </w:tc>
        <w:tc>
          <w:tcPr>
            <w:tcW w:w="1701" w:type="dxa"/>
            <w:noWrap/>
            <w:tcMar>
              <w:top w:w="0" w:type="dxa"/>
              <w:left w:w="70" w:type="dxa"/>
              <w:bottom w:w="0" w:type="dxa"/>
              <w:right w:w="70" w:type="dxa"/>
            </w:tcMar>
            <w:vAlign w:val="bottom"/>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2.1</w:t>
            </w:r>
          </w:p>
        </w:tc>
        <w:tc>
          <w:tcPr>
            <w:tcW w:w="87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2.5</w:t>
            </w:r>
          </w:p>
        </w:tc>
        <w:tc>
          <w:tcPr>
            <w:tcW w:w="168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1.4</w:t>
            </w:r>
          </w:p>
        </w:tc>
        <w:tc>
          <w:tcPr>
            <w:tcW w:w="992"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1.9</w:t>
            </w:r>
          </w:p>
        </w:tc>
      </w:tr>
      <w:tr w:rsidR="0098527B" w:rsidRPr="00B2496F" w:rsidTr="005A7088">
        <w:trPr>
          <w:trHeight w:val="330"/>
        </w:trPr>
        <w:tc>
          <w:tcPr>
            <w:tcW w:w="1276"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bCs/>
                <w:color w:val="000000"/>
                <w:sz w:val="18"/>
                <w:szCs w:val="18"/>
                <w:lang w:eastAsia="nl-NL"/>
              </w:rPr>
            </w:pPr>
            <w:r w:rsidRPr="00B2496F">
              <w:rPr>
                <w:rFonts w:ascii="Arial" w:hAnsi="Arial" w:cs="Arial"/>
                <w:b/>
                <w:bCs/>
                <w:color w:val="000000"/>
                <w:sz w:val="18"/>
                <w:szCs w:val="18"/>
                <w:lang w:val="en-GB" w:eastAsia="nl-NL"/>
              </w:rPr>
              <w:t>75-80</w:t>
            </w:r>
          </w:p>
        </w:tc>
        <w:tc>
          <w:tcPr>
            <w:tcW w:w="1701" w:type="dxa"/>
            <w:noWrap/>
            <w:tcMar>
              <w:top w:w="0" w:type="dxa"/>
              <w:left w:w="70" w:type="dxa"/>
              <w:bottom w:w="0" w:type="dxa"/>
              <w:right w:w="70" w:type="dxa"/>
            </w:tcMar>
            <w:vAlign w:val="bottom"/>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1.6</w:t>
            </w:r>
          </w:p>
        </w:tc>
        <w:tc>
          <w:tcPr>
            <w:tcW w:w="87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1.9</w:t>
            </w:r>
          </w:p>
        </w:tc>
        <w:tc>
          <w:tcPr>
            <w:tcW w:w="168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1.3</w:t>
            </w:r>
          </w:p>
        </w:tc>
        <w:tc>
          <w:tcPr>
            <w:tcW w:w="992"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1.5</w:t>
            </w:r>
          </w:p>
        </w:tc>
      </w:tr>
      <w:tr w:rsidR="0098527B" w:rsidRPr="00B2496F" w:rsidTr="005A7088">
        <w:trPr>
          <w:trHeight w:val="330"/>
        </w:trPr>
        <w:tc>
          <w:tcPr>
            <w:tcW w:w="1276"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bCs/>
                <w:color w:val="000000"/>
                <w:sz w:val="18"/>
                <w:szCs w:val="18"/>
                <w:lang w:eastAsia="nl-NL"/>
              </w:rPr>
            </w:pPr>
            <w:r w:rsidRPr="00B2496F">
              <w:rPr>
                <w:rFonts w:ascii="Arial" w:hAnsi="Arial" w:cs="Arial"/>
                <w:b/>
                <w:bCs/>
                <w:color w:val="000000"/>
                <w:sz w:val="18"/>
                <w:szCs w:val="18"/>
                <w:lang w:val="en-GB" w:eastAsia="nl-NL"/>
              </w:rPr>
              <w:t>80-85</w:t>
            </w:r>
          </w:p>
        </w:tc>
        <w:tc>
          <w:tcPr>
            <w:tcW w:w="1701" w:type="dxa"/>
            <w:noWrap/>
            <w:tcMar>
              <w:top w:w="0" w:type="dxa"/>
              <w:left w:w="70" w:type="dxa"/>
              <w:bottom w:w="0" w:type="dxa"/>
              <w:right w:w="70" w:type="dxa"/>
            </w:tcMar>
            <w:vAlign w:val="bottom"/>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1.3</w:t>
            </w:r>
          </w:p>
        </w:tc>
        <w:tc>
          <w:tcPr>
            <w:tcW w:w="87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1.5</w:t>
            </w:r>
          </w:p>
        </w:tc>
        <w:tc>
          <w:tcPr>
            <w:tcW w:w="1681"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1.1</w:t>
            </w:r>
          </w:p>
        </w:tc>
        <w:tc>
          <w:tcPr>
            <w:tcW w:w="992" w:type="dxa"/>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1.4</w:t>
            </w:r>
          </w:p>
        </w:tc>
      </w:tr>
      <w:tr w:rsidR="0098527B" w:rsidRPr="00B2496F" w:rsidTr="005A7088">
        <w:trPr>
          <w:trHeight w:val="330"/>
        </w:trPr>
        <w:tc>
          <w:tcPr>
            <w:tcW w:w="1276" w:type="dxa"/>
            <w:tcBorders>
              <w:top w:val="nil"/>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b/>
                <w:bCs/>
                <w:color w:val="000000"/>
                <w:sz w:val="18"/>
                <w:szCs w:val="18"/>
                <w:lang w:eastAsia="nl-NL"/>
              </w:rPr>
            </w:pPr>
            <w:r w:rsidRPr="00B2496F">
              <w:rPr>
                <w:rFonts w:ascii="Arial" w:hAnsi="Arial" w:cs="Arial"/>
                <w:b/>
                <w:bCs/>
                <w:color w:val="000000"/>
                <w:sz w:val="18"/>
                <w:szCs w:val="18"/>
                <w:lang w:val="en-GB" w:eastAsia="nl-NL"/>
              </w:rPr>
              <w:t>85+</w:t>
            </w:r>
          </w:p>
        </w:tc>
        <w:tc>
          <w:tcPr>
            <w:tcW w:w="1701" w:type="dxa"/>
            <w:tcBorders>
              <w:top w:val="nil"/>
              <w:left w:val="nil"/>
              <w:bottom w:val="single" w:sz="8" w:space="0" w:color="auto"/>
              <w:right w:val="nil"/>
            </w:tcBorders>
            <w:noWrap/>
            <w:tcMar>
              <w:top w:w="0" w:type="dxa"/>
              <w:left w:w="70" w:type="dxa"/>
              <w:bottom w:w="0" w:type="dxa"/>
              <w:right w:w="70" w:type="dxa"/>
            </w:tcMar>
            <w:vAlign w:val="bottom"/>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1.1</w:t>
            </w:r>
          </w:p>
        </w:tc>
        <w:tc>
          <w:tcPr>
            <w:tcW w:w="871" w:type="dxa"/>
            <w:tcBorders>
              <w:top w:val="nil"/>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1.1</w:t>
            </w:r>
          </w:p>
        </w:tc>
        <w:tc>
          <w:tcPr>
            <w:tcW w:w="1681" w:type="dxa"/>
            <w:tcBorders>
              <w:top w:val="nil"/>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0.9</w:t>
            </w:r>
          </w:p>
        </w:tc>
        <w:tc>
          <w:tcPr>
            <w:tcW w:w="992" w:type="dxa"/>
            <w:tcBorders>
              <w:top w:val="nil"/>
              <w:left w:val="nil"/>
              <w:bottom w:val="single" w:sz="8" w:space="0" w:color="auto"/>
              <w:right w:val="nil"/>
            </w:tcBorders>
            <w:tcMar>
              <w:top w:w="0" w:type="dxa"/>
              <w:left w:w="70" w:type="dxa"/>
              <w:bottom w:w="0" w:type="dxa"/>
              <w:right w:w="70" w:type="dxa"/>
            </w:tcMar>
            <w:vAlign w:val="center"/>
            <w:hideMark/>
          </w:tcPr>
          <w:p w:rsidR="0098527B" w:rsidRPr="00B2496F" w:rsidRDefault="0098527B" w:rsidP="005A7088">
            <w:pPr>
              <w:spacing w:after="0" w:line="240" w:lineRule="auto"/>
              <w:jc w:val="center"/>
              <w:rPr>
                <w:rFonts w:ascii="Arial" w:hAnsi="Arial" w:cs="Arial"/>
                <w:color w:val="000000"/>
                <w:sz w:val="18"/>
                <w:szCs w:val="18"/>
                <w:lang w:eastAsia="nl-NL"/>
              </w:rPr>
            </w:pPr>
            <w:r w:rsidRPr="00B2496F">
              <w:rPr>
                <w:rFonts w:ascii="Arial" w:hAnsi="Arial" w:cs="Arial"/>
                <w:color w:val="000000"/>
                <w:sz w:val="18"/>
                <w:szCs w:val="18"/>
                <w:lang w:eastAsia="nl-NL"/>
              </w:rPr>
              <w:t>1.0</w:t>
            </w:r>
          </w:p>
        </w:tc>
      </w:tr>
    </w:tbl>
    <w:p w:rsidR="0098527B" w:rsidRPr="00B2496F" w:rsidRDefault="0098527B" w:rsidP="0098527B">
      <w:pPr>
        <w:spacing w:after="0" w:line="240" w:lineRule="auto"/>
        <w:rPr>
          <w:rFonts w:ascii="Arial" w:hAnsi="Arial" w:cs="Arial"/>
          <w:sz w:val="16"/>
          <w:szCs w:val="16"/>
        </w:rPr>
      </w:pPr>
    </w:p>
    <w:p w:rsidR="0098527B" w:rsidRPr="00B2496F" w:rsidRDefault="0098527B" w:rsidP="0098527B">
      <w:pPr>
        <w:spacing w:after="0"/>
        <w:rPr>
          <w:rFonts w:ascii="Arial" w:hAnsi="Arial" w:cs="Arial"/>
          <w:sz w:val="18"/>
          <w:szCs w:val="16"/>
          <w:lang w:val="en-GB"/>
        </w:rPr>
      </w:pPr>
      <w:r w:rsidRPr="00B2496F">
        <w:rPr>
          <w:rFonts w:ascii="Arial" w:hAnsi="Arial" w:cs="Arial"/>
          <w:sz w:val="18"/>
          <w:szCs w:val="16"/>
          <w:lang w:val="en-GB"/>
        </w:rPr>
        <w:t>Multiplication factors for the SCORE2-OP model specific for each age group, sex and region. Multiplication factors were defined as the ratio between the cumulative incidence of fatal CVD and the cumulative incidence of CVD events. Multipliers were used to multiply observed CVD mortality rates in the agegroup stated in this table and are therefore used to recalibrate 10-year risks in one age group below.</w:t>
      </w:r>
    </w:p>
    <w:p w:rsidR="0098527B" w:rsidRPr="00B2496F" w:rsidRDefault="0098527B" w:rsidP="0098527B">
      <w:pPr>
        <w:rPr>
          <w:rFonts w:ascii="Arial" w:hAnsi="Arial" w:cs="Arial"/>
          <w:sz w:val="20"/>
        </w:rPr>
      </w:pPr>
      <w:r w:rsidRPr="00B2496F">
        <w:rPr>
          <w:rFonts w:ascii="Arial" w:hAnsi="Arial" w:cs="Arial"/>
          <w:sz w:val="20"/>
        </w:rPr>
        <w:br w:type="page"/>
      </w:r>
    </w:p>
    <w:p w:rsidR="0098527B" w:rsidRPr="00B2496F" w:rsidRDefault="0098527B" w:rsidP="0098527B">
      <w:pPr>
        <w:pStyle w:val="aParagraafkop"/>
      </w:pPr>
      <w:r w:rsidRPr="00B2496F">
        <w:lastRenderedPageBreak/>
        <w:t xml:space="preserve">Supplementary Table 4: </w:t>
      </w:r>
      <w:r w:rsidRPr="00B2496F">
        <w:rPr>
          <w:b w:val="0"/>
        </w:rPr>
        <w:t xml:space="preserve">Age- and sex-specific multiplication factors in CONOR for the primary endpoint to secondary endpoint CVD events plus HF </w:t>
      </w:r>
    </w:p>
    <w:tbl>
      <w:tblPr>
        <w:tblStyle w:val="Tabelraster"/>
        <w:tblW w:w="60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945"/>
        <w:gridCol w:w="945"/>
        <w:gridCol w:w="945"/>
        <w:gridCol w:w="945"/>
        <w:gridCol w:w="945"/>
      </w:tblGrid>
      <w:tr w:rsidR="0098527B" w:rsidRPr="00B2496F" w:rsidTr="005A7088">
        <w:trPr>
          <w:trHeight w:val="379"/>
        </w:trPr>
        <w:tc>
          <w:tcPr>
            <w:tcW w:w="1276" w:type="dxa"/>
            <w:tcBorders>
              <w:top w:val="single" w:sz="4" w:space="0" w:color="auto"/>
            </w:tcBorders>
          </w:tcPr>
          <w:p w:rsidR="0098527B" w:rsidRPr="00B2496F" w:rsidRDefault="0098527B" w:rsidP="005A7088">
            <w:pPr>
              <w:pStyle w:val="dGewonetekst"/>
              <w:rPr>
                <w:b/>
              </w:rPr>
            </w:pPr>
            <w:r w:rsidRPr="00B2496F">
              <w:rPr>
                <w:b/>
              </w:rPr>
              <w:t>Age group</w:t>
            </w:r>
          </w:p>
        </w:tc>
        <w:tc>
          <w:tcPr>
            <w:tcW w:w="945" w:type="dxa"/>
            <w:tcBorders>
              <w:top w:val="single" w:sz="4" w:space="0" w:color="auto"/>
              <w:bottom w:val="single" w:sz="4" w:space="0" w:color="auto"/>
            </w:tcBorders>
          </w:tcPr>
          <w:p w:rsidR="0098527B" w:rsidRPr="00B2496F" w:rsidRDefault="0098527B" w:rsidP="005A7088">
            <w:pPr>
              <w:pStyle w:val="dGewonetekst"/>
              <w:rPr>
                <w:b/>
              </w:rPr>
            </w:pPr>
            <w:r w:rsidRPr="00B2496F">
              <w:rPr>
                <w:b/>
              </w:rPr>
              <w:t>65</w:t>
            </w:r>
          </w:p>
        </w:tc>
        <w:tc>
          <w:tcPr>
            <w:tcW w:w="945" w:type="dxa"/>
            <w:tcBorders>
              <w:top w:val="single" w:sz="4" w:space="0" w:color="000000"/>
              <w:bottom w:val="single" w:sz="4" w:space="0" w:color="auto"/>
            </w:tcBorders>
          </w:tcPr>
          <w:p w:rsidR="0098527B" w:rsidRPr="00B2496F" w:rsidRDefault="0098527B" w:rsidP="005A7088">
            <w:pPr>
              <w:pStyle w:val="dGewonetekst"/>
              <w:rPr>
                <w:b/>
              </w:rPr>
            </w:pPr>
            <w:r w:rsidRPr="00B2496F">
              <w:rPr>
                <w:b/>
              </w:rPr>
              <w:t>70</w:t>
            </w:r>
          </w:p>
        </w:tc>
        <w:tc>
          <w:tcPr>
            <w:tcW w:w="945" w:type="dxa"/>
            <w:tcBorders>
              <w:top w:val="single" w:sz="4" w:space="0" w:color="000000"/>
              <w:bottom w:val="single" w:sz="4" w:space="0" w:color="auto"/>
            </w:tcBorders>
          </w:tcPr>
          <w:p w:rsidR="0098527B" w:rsidRPr="00B2496F" w:rsidRDefault="0098527B" w:rsidP="005A7088">
            <w:pPr>
              <w:pStyle w:val="dGewonetekst"/>
              <w:rPr>
                <w:b/>
              </w:rPr>
            </w:pPr>
            <w:r w:rsidRPr="00B2496F">
              <w:rPr>
                <w:b/>
              </w:rPr>
              <w:t>75</w:t>
            </w:r>
          </w:p>
        </w:tc>
        <w:tc>
          <w:tcPr>
            <w:tcW w:w="945" w:type="dxa"/>
            <w:tcBorders>
              <w:top w:val="single" w:sz="4" w:space="0" w:color="000000"/>
              <w:bottom w:val="single" w:sz="4" w:space="0" w:color="auto"/>
            </w:tcBorders>
          </w:tcPr>
          <w:p w:rsidR="0098527B" w:rsidRPr="00B2496F" w:rsidRDefault="0098527B" w:rsidP="005A7088">
            <w:pPr>
              <w:pStyle w:val="dGewonetekst"/>
              <w:rPr>
                <w:b/>
              </w:rPr>
            </w:pPr>
            <w:r w:rsidRPr="00B2496F">
              <w:rPr>
                <w:b/>
              </w:rPr>
              <w:t>80</w:t>
            </w:r>
          </w:p>
        </w:tc>
        <w:tc>
          <w:tcPr>
            <w:tcW w:w="945" w:type="dxa"/>
            <w:tcBorders>
              <w:top w:val="single" w:sz="4" w:space="0" w:color="000000"/>
              <w:bottom w:val="single" w:sz="4" w:space="0" w:color="auto"/>
            </w:tcBorders>
          </w:tcPr>
          <w:p w:rsidR="0098527B" w:rsidRPr="00B2496F" w:rsidRDefault="0098527B" w:rsidP="005A7088">
            <w:pPr>
              <w:pStyle w:val="dGewonetekst"/>
              <w:rPr>
                <w:b/>
              </w:rPr>
            </w:pPr>
            <w:r w:rsidRPr="00B2496F">
              <w:rPr>
                <w:b/>
              </w:rPr>
              <w:t>85+</w:t>
            </w:r>
          </w:p>
        </w:tc>
      </w:tr>
      <w:tr w:rsidR="0098527B" w:rsidRPr="00B2496F" w:rsidTr="005A7088">
        <w:trPr>
          <w:trHeight w:val="379"/>
        </w:trPr>
        <w:tc>
          <w:tcPr>
            <w:tcW w:w="1276" w:type="dxa"/>
          </w:tcPr>
          <w:p w:rsidR="0098527B" w:rsidRPr="00B2496F" w:rsidRDefault="0098527B" w:rsidP="005A7088">
            <w:pPr>
              <w:pStyle w:val="dGewonetekst"/>
            </w:pPr>
            <w:r w:rsidRPr="00B2496F">
              <w:t>Men</w:t>
            </w:r>
          </w:p>
        </w:tc>
        <w:tc>
          <w:tcPr>
            <w:tcW w:w="945" w:type="dxa"/>
            <w:tcBorders>
              <w:top w:val="single" w:sz="4" w:space="0" w:color="auto"/>
            </w:tcBorders>
          </w:tcPr>
          <w:p w:rsidR="0098527B" w:rsidRPr="00B2496F" w:rsidRDefault="0098527B" w:rsidP="005A7088">
            <w:pPr>
              <w:pStyle w:val="dGewonetekst"/>
            </w:pPr>
            <w:r w:rsidRPr="00B2496F">
              <w:t>1.10</w:t>
            </w:r>
          </w:p>
        </w:tc>
        <w:tc>
          <w:tcPr>
            <w:tcW w:w="945" w:type="dxa"/>
            <w:tcBorders>
              <w:top w:val="single" w:sz="4" w:space="0" w:color="auto"/>
            </w:tcBorders>
          </w:tcPr>
          <w:p w:rsidR="0098527B" w:rsidRPr="00B2496F" w:rsidRDefault="0098527B" w:rsidP="005A7088">
            <w:pPr>
              <w:pStyle w:val="dGewonetekst"/>
            </w:pPr>
            <w:r w:rsidRPr="00B2496F">
              <w:t>1.15</w:t>
            </w:r>
          </w:p>
        </w:tc>
        <w:tc>
          <w:tcPr>
            <w:tcW w:w="945" w:type="dxa"/>
            <w:tcBorders>
              <w:top w:val="single" w:sz="4" w:space="0" w:color="auto"/>
            </w:tcBorders>
          </w:tcPr>
          <w:p w:rsidR="0098527B" w:rsidRPr="00B2496F" w:rsidRDefault="0098527B" w:rsidP="005A7088">
            <w:pPr>
              <w:pStyle w:val="dGewonetekst"/>
            </w:pPr>
            <w:r w:rsidRPr="00B2496F">
              <w:t>1.19</w:t>
            </w:r>
          </w:p>
        </w:tc>
        <w:tc>
          <w:tcPr>
            <w:tcW w:w="945" w:type="dxa"/>
            <w:tcBorders>
              <w:top w:val="single" w:sz="4" w:space="0" w:color="auto"/>
            </w:tcBorders>
          </w:tcPr>
          <w:p w:rsidR="0098527B" w:rsidRPr="00B2496F" w:rsidRDefault="0098527B" w:rsidP="005A7088">
            <w:pPr>
              <w:pStyle w:val="dGewonetekst"/>
            </w:pPr>
            <w:r w:rsidRPr="00B2496F">
              <w:t>1.20</w:t>
            </w:r>
          </w:p>
        </w:tc>
        <w:tc>
          <w:tcPr>
            <w:tcW w:w="945" w:type="dxa"/>
            <w:tcBorders>
              <w:top w:val="single" w:sz="4" w:space="0" w:color="auto"/>
            </w:tcBorders>
          </w:tcPr>
          <w:p w:rsidR="0098527B" w:rsidRPr="00B2496F" w:rsidRDefault="0098527B" w:rsidP="005A7088">
            <w:pPr>
              <w:pStyle w:val="dGewonetekst"/>
            </w:pPr>
            <w:r w:rsidRPr="00B2496F">
              <w:t>1.17</w:t>
            </w:r>
          </w:p>
        </w:tc>
      </w:tr>
      <w:tr w:rsidR="0098527B" w:rsidRPr="00B2496F" w:rsidTr="005A7088">
        <w:trPr>
          <w:trHeight w:val="380"/>
        </w:trPr>
        <w:tc>
          <w:tcPr>
            <w:tcW w:w="1276" w:type="dxa"/>
            <w:tcBorders>
              <w:bottom w:val="single" w:sz="4" w:space="0" w:color="auto"/>
            </w:tcBorders>
            <w:shd w:val="clear" w:color="auto" w:fill="auto"/>
          </w:tcPr>
          <w:p w:rsidR="0098527B" w:rsidRPr="00B2496F" w:rsidRDefault="0098527B" w:rsidP="005A7088">
            <w:pPr>
              <w:pStyle w:val="dGewonetekst"/>
            </w:pPr>
            <w:r w:rsidRPr="00B2496F">
              <w:t>Women</w:t>
            </w:r>
          </w:p>
        </w:tc>
        <w:tc>
          <w:tcPr>
            <w:tcW w:w="945" w:type="dxa"/>
            <w:tcBorders>
              <w:bottom w:val="single" w:sz="4" w:space="0" w:color="auto"/>
            </w:tcBorders>
            <w:shd w:val="clear" w:color="auto" w:fill="auto"/>
          </w:tcPr>
          <w:p w:rsidR="0098527B" w:rsidRPr="00B2496F" w:rsidRDefault="0098527B" w:rsidP="005A7088">
            <w:pPr>
              <w:pStyle w:val="dGewonetekst"/>
            </w:pPr>
            <w:r w:rsidRPr="00B2496F">
              <w:t>1.14</w:t>
            </w:r>
          </w:p>
        </w:tc>
        <w:tc>
          <w:tcPr>
            <w:tcW w:w="945" w:type="dxa"/>
            <w:tcBorders>
              <w:bottom w:val="single" w:sz="4" w:space="0" w:color="auto"/>
            </w:tcBorders>
            <w:shd w:val="clear" w:color="auto" w:fill="auto"/>
          </w:tcPr>
          <w:p w:rsidR="0098527B" w:rsidRPr="00B2496F" w:rsidRDefault="0098527B" w:rsidP="005A7088">
            <w:pPr>
              <w:pStyle w:val="dGewonetekst"/>
            </w:pPr>
            <w:r w:rsidRPr="00B2496F">
              <w:t>1.20</w:t>
            </w:r>
          </w:p>
        </w:tc>
        <w:tc>
          <w:tcPr>
            <w:tcW w:w="945" w:type="dxa"/>
            <w:tcBorders>
              <w:bottom w:val="single" w:sz="4" w:space="0" w:color="auto"/>
            </w:tcBorders>
            <w:shd w:val="clear" w:color="auto" w:fill="auto"/>
          </w:tcPr>
          <w:p w:rsidR="0098527B" w:rsidRPr="00B2496F" w:rsidRDefault="0098527B" w:rsidP="005A7088">
            <w:pPr>
              <w:pStyle w:val="dGewonetekst"/>
            </w:pPr>
            <w:r w:rsidRPr="00B2496F">
              <w:t>1.22</w:t>
            </w:r>
          </w:p>
        </w:tc>
        <w:tc>
          <w:tcPr>
            <w:tcW w:w="945" w:type="dxa"/>
            <w:tcBorders>
              <w:bottom w:val="single" w:sz="4" w:space="0" w:color="auto"/>
            </w:tcBorders>
            <w:shd w:val="clear" w:color="auto" w:fill="auto"/>
          </w:tcPr>
          <w:p w:rsidR="0098527B" w:rsidRPr="00B2496F" w:rsidRDefault="0098527B" w:rsidP="005A7088">
            <w:pPr>
              <w:pStyle w:val="dGewonetekst"/>
            </w:pPr>
            <w:r w:rsidRPr="00B2496F">
              <w:t>1.22</w:t>
            </w:r>
          </w:p>
        </w:tc>
        <w:tc>
          <w:tcPr>
            <w:tcW w:w="945" w:type="dxa"/>
            <w:tcBorders>
              <w:bottom w:val="single" w:sz="4" w:space="0" w:color="auto"/>
            </w:tcBorders>
            <w:shd w:val="clear" w:color="auto" w:fill="auto"/>
          </w:tcPr>
          <w:p w:rsidR="0098527B" w:rsidRPr="00B2496F" w:rsidRDefault="0098527B" w:rsidP="005A7088">
            <w:pPr>
              <w:pStyle w:val="dGewonetekst"/>
            </w:pPr>
            <w:r w:rsidRPr="00B2496F">
              <w:t>1.20</w:t>
            </w:r>
          </w:p>
        </w:tc>
      </w:tr>
    </w:tbl>
    <w:p w:rsidR="0098527B" w:rsidRPr="00B2496F" w:rsidRDefault="0098527B" w:rsidP="0098527B">
      <w:pPr>
        <w:pStyle w:val="Geenafstand"/>
        <w:spacing w:line="480" w:lineRule="auto"/>
        <w:jc w:val="both"/>
        <w:rPr>
          <w:rFonts w:ascii="Arial" w:hAnsi="Arial" w:cs="Arial"/>
          <w:sz w:val="20"/>
        </w:rPr>
      </w:pPr>
    </w:p>
    <w:p w:rsidR="0098527B" w:rsidRPr="00B2496F" w:rsidRDefault="0098527B" w:rsidP="0098527B">
      <w:pPr>
        <w:rPr>
          <w:rFonts w:ascii="Arial" w:hAnsi="Arial" w:cs="Arial"/>
          <w:sz w:val="20"/>
        </w:rPr>
      </w:pPr>
      <w:r w:rsidRPr="00B2496F">
        <w:rPr>
          <w:rFonts w:ascii="Arial" w:hAnsi="Arial" w:cs="Arial"/>
          <w:sz w:val="20"/>
        </w:rPr>
        <w:br w:type="page"/>
      </w:r>
    </w:p>
    <w:p w:rsidR="0098527B" w:rsidRPr="00B2496F" w:rsidRDefault="0098527B" w:rsidP="0098527B">
      <w:pPr>
        <w:pStyle w:val="aParagraafkop"/>
        <w:rPr>
          <w:b w:val="0"/>
          <w:lang w:val="en-GB"/>
        </w:rPr>
      </w:pPr>
      <w:r w:rsidRPr="00B2496F">
        <w:rPr>
          <w:lang w:val="en-GB"/>
        </w:rPr>
        <w:lastRenderedPageBreak/>
        <w:t xml:space="preserve">Supplementary Table 5: </w:t>
      </w:r>
      <w:r w:rsidRPr="00B2496F">
        <w:rPr>
          <w:b w:val="0"/>
          <w:lang w:val="en-GB"/>
        </w:rPr>
        <w:t xml:space="preserve">Regional risk factor levels and incidence rates used for recalibration </w:t>
      </w:r>
    </w:p>
    <w:tbl>
      <w:tblPr>
        <w:tblW w:w="10201" w:type="dxa"/>
        <w:tblLook w:val="04A0" w:firstRow="1" w:lastRow="0" w:firstColumn="1" w:lastColumn="0" w:noHBand="0" w:noVBand="1"/>
      </w:tblPr>
      <w:tblGrid>
        <w:gridCol w:w="1102"/>
        <w:gridCol w:w="1111"/>
        <w:gridCol w:w="929"/>
        <w:gridCol w:w="1006"/>
        <w:gridCol w:w="1000"/>
        <w:gridCol w:w="1235"/>
        <w:gridCol w:w="1235"/>
        <w:gridCol w:w="1021"/>
        <w:gridCol w:w="1562"/>
      </w:tblGrid>
      <w:tr w:rsidR="0098527B" w:rsidRPr="00B2496F" w:rsidTr="005A7088">
        <w:trPr>
          <w:trHeight w:val="300"/>
        </w:trPr>
        <w:tc>
          <w:tcPr>
            <w:tcW w:w="1102"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Agegroup</w:t>
            </w:r>
          </w:p>
        </w:tc>
        <w:tc>
          <w:tcPr>
            <w:tcW w:w="1111"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Region</w:t>
            </w:r>
          </w:p>
        </w:tc>
        <w:tc>
          <w:tcPr>
            <w:tcW w:w="929"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Sex</w:t>
            </w:r>
          </w:p>
        </w:tc>
        <w:tc>
          <w:tcPr>
            <w:tcW w:w="1006"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Systolic blood pressure (mmHg)</w:t>
            </w:r>
          </w:p>
        </w:tc>
        <w:tc>
          <w:tcPr>
            <w:tcW w:w="1000"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Smoking (%)</w:t>
            </w:r>
          </w:p>
        </w:tc>
        <w:tc>
          <w:tcPr>
            <w:tcW w:w="1235"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rPr>
            </w:pPr>
            <w:r w:rsidRPr="00B2496F">
              <w:rPr>
                <w:rFonts w:ascii="Arial" w:hAnsi="Arial" w:cs="Arial"/>
                <w:b/>
                <w:color w:val="000000" w:themeColor="text1"/>
                <w:sz w:val="18"/>
                <w:szCs w:val="18"/>
              </w:rPr>
              <w:t>Total cholesterol (mmol/L)</w:t>
            </w:r>
          </w:p>
        </w:tc>
        <w:tc>
          <w:tcPr>
            <w:tcW w:w="1235"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lang w:val="nl-NL"/>
              </w:rPr>
            </w:pPr>
            <w:r w:rsidRPr="00B2496F">
              <w:rPr>
                <w:rFonts w:ascii="Arial" w:hAnsi="Arial" w:cs="Arial"/>
                <w:b/>
                <w:color w:val="000000" w:themeColor="text1"/>
                <w:sz w:val="18"/>
                <w:szCs w:val="18"/>
              </w:rPr>
              <w:t>HDL-cho</w:t>
            </w:r>
            <w:r w:rsidRPr="00B2496F">
              <w:rPr>
                <w:rFonts w:ascii="Arial" w:hAnsi="Arial" w:cs="Arial"/>
                <w:b/>
                <w:color w:val="000000" w:themeColor="text1"/>
                <w:sz w:val="18"/>
                <w:szCs w:val="18"/>
                <w:lang w:val="nl-NL"/>
              </w:rPr>
              <w:t>lesterol (mmol/L)</w:t>
            </w:r>
          </w:p>
        </w:tc>
        <w:tc>
          <w:tcPr>
            <w:tcW w:w="1021"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lang w:val="nl-NL"/>
              </w:rPr>
            </w:pPr>
            <w:r w:rsidRPr="00B2496F">
              <w:rPr>
                <w:rFonts w:ascii="Arial" w:hAnsi="Arial" w:cs="Arial"/>
                <w:b/>
                <w:color w:val="000000" w:themeColor="text1"/>
                <w:sz w:val="18"/>
                <w:szCs w:val="18"/>
                <w:lang w:val="nl-NL"/>
              </w:rPr>
              <w:t>Diabetes mellitus (%)</w:t>
            </w:r>
          </w:p>
        </w:tc>
        <w:tc>
          <w:tcPr>
            <w:tcW w:w="1562" w:type="dxa"/>
            <w:tcBorders>
              <w:top w:val="single" w:sz="4" w:space="0" w:color="auto"/>
              <w:bottom w:val="single" w:sz="4" w:space="0" w:color="auto"/>
            </w:tcBorders>
            <w:noWrap/>
            <w:hideMark/>
          </w:tcPr>
          <w:p w:rsidR="0098527B" w:rsidRPr="00B2496F" w:rsidRDefault="0098527B" w:rsidP="005A7088">
            <w:pPr>
              <w:spacing w:after="0"/>
              <w:rPr>
                <w:rFonts w:ascii="Arial" w:hAnsi="Arial" w:cs="Arial"/>
                <w:b/>
                <w:color w:val="000000" w:themeColor="text1"/>
                <w:sz w:val="18"/>
                <w:szCs w:val="18"/>
                <w:lang w:val="nl-NL"/>
              </w:rPr>
            </w:pPr>
            <w:r w:rsidRPr="00B2496F">
              <w:rPr>
                <w:rFonts w:ascii="Arial" w:hAnsi="Arial" w:cs="Arial"/>
                <w:b/>
                <w:color w:val="000000" w:themeColor="text1"/>
                <w:sz w:val="18"/>
                <w:szCs w:val="18"/>
                <w:lang w:val="nl-NL"/>
              </w:rPr>
              <w:t>Expected 10-year cumulative incidence (%)</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16.8</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8.7</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12.3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143</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4.7</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17.1</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144</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24.8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136</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11.3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139</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12.6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8.6</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12.3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Low</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145</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10.9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25.8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18.6</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5.1</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18.5</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11.6</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142</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18.7</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16.2</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143</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22.1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142</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11.5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4.7</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34.2</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136</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12.2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5.6</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6.3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138</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10</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14.8</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10.8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8.8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7.6</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17.7</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35.3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Moderate</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148</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5.1</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20.6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16.9</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24.6</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20.6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22.5</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22.3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19.7</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30.1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149</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20.1</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4.7</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17.3</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38.7</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144</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12.4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17.6</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11.8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147</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10.3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18.2</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149</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9.1</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18.2</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35.7</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7.8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19.4</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49.8</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149</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39.9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19.8</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29.1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36.2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5.1</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19.9</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38.3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152</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32.7</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19.2</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43.6</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30.5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4.8</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16.7</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46.3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147</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4.2</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5.5</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24.3</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65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148</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3.6</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19.2</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38.1</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70</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150</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3.4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5.3</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50.6</w:t>
            </w:r>
          </w:p>
        </w:tc>
      </w:tr>
      <w:tr w:rsidR="0098527B" w:rsidRPr="00B2496F" w:rsidTr="005A7088">
        <w:trPr>
          <w:trHeight w:val="300"/>
        </w:trPr>
        <w:tc>
          <w:tcPr>
            <w:tcW w:w="1102"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75</w:t>
            </w:r>
          </w:p>
        </w:tc>
        <w:tc>
          <w:tcPr>
            <w:tcW w:w="1111"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151</w:t>
            </w:r>
          </w:p>
        </w:tc>
        <w:tc>
          <w:tcPr>
            <w:tcW w:w="1000"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2.9</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5.4</w:t>
            </w:r>
          </w:p>
        </w:tc>
        <w:tc>
          <w:tcPr>
            <w:tcW w:w="1235"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w:t>
            </w:r>
          </w:p>
        </w:tc>
        <w:tc>
          <w:tcPr>
            <w:tcW w:w="1021"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19.9</w:t>
            </w:r>
          </w:p>
        </w:tc>
        <w:tc>
          <w:tcPr>
            <w:tcW w:w="1562" w:type="dxa"/>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58.2</w:t>
            </w:r>
          </w:p>
        </w:tc>
      </w:tr>
      <w:tr w:rsidR="0098527B" w:rsidRPr="00B2496F" w:rsidTr="005A7088">
        <w:trPr>
          <w:trHeight w:val="300"/>
        </w:trPr>
        <w:tc>
          <w:tcPr>
            <w:tcW w:w="1102" w:type="dxa"/>
            <w:tcBorders>
              <w:bottom w:val="single" w:sz="4" w:space="0" w:color="auto"/>
            </w:tcBorders>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85</w:t>
            </w:r>
          </w:p>
        </w:tc>
        <w:tc>
          <w:tcPr>
            <w:tcW w:w="1111" w:type="dxa"/>
            <w:tcBorders>
              <w:bottom w:val="single" w:sz="4" w:space="0" w:color="auto"/>
            </w:tcBorders>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Very high</w:t>
            </w:r>
          </w:p>
        </w:tc>
        <w:tc>
          <w:tcPr>
            <w:tcW w:w="929" w:type="dxa"/>
            <w:tcBorders>
              <w:bottom w:val="single" w:sz="4" w:space="0" w:color="auto"/>
            </w:tcBorders>
            <w:noWrap/>
            <w:hideMark/>
          </w:tcPr>
          <w:p w:rsidR="0098527B" w:rsidRPr="00B2496F" w:rsidRDefault="0098527B" w:rsidP="005A7088">
            <w:pPr>
              <w:spacing w:after="0"/>
              <w:rPr>
                <w:rFonts w:ascii="Arial" w:hAnsi="Arial" w:cs="Arial"/>
                <w:color w:val="000000" w:themeColor="text1"/>
                <w:sz w:val="18"/>
                <w:szCs w:val="18"/>
                <w:lang w:val="nl-NL"/>
              </w:rPr>
            </w:pPr>
            <w:r w:rsidRPr="00B2496F">
              <w:rPr>
                <w:rFonts w:ascii="Arial" w:hAnsi="Arial" w:cs="Arial"/>
                <w:color w:val="000000" w:themeColor="text1"/>
                <w:sz w:val="18"/>
                <w:szCs w:val="18"/>
                <w:lang w:val="nl-NL"/>
              </w:rPr>
              <w:t>Women</w:t>
            </w:r>
          </w:p>
        </w:tc>
        <w:tc>
          <w:tcPr>
            <w:tcW w:w="1006"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140</w:t>
            </w:r>
          </w:p>
        </w:tc>
        <w:tc>
          <w:tcPr>
            <w:tcW w:w="1000"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19.5</w:t>
            </w:r>
          </w:p>
        </w:tc>
        <w:tc>
          <w:tcPr>
            <w:tcW w:w="1235"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4.9</w:t>
            </w:r>
          </w:p>
        </w:tc>
        <w:tc>
          <w:tcPr>
            <w:tcW w:w="1235"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1.3</w:t>
            </w:r>
          </w:p>
        </w:tc>
        <w:tc>
          <w:tcPr>
            <w:tcW w:w="1021"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16.8</w:t>
            </w:r>
          </w:p>
        </w:tc>
        <w:tc>
          <w:tcPr>
            <w:tcW w:w="1562" w:type="dxa"/>
            <w:tcBorders>
              <w:bottom w:val="single" w:sz="4" w:space="0" w:color="auto"/>
            </w:tcBorders>
            <w:noWrap/>
            <w:hideMark/>
          </w:tcPr>
          <w:p w:rsidR="0098527B" w:rsidRPr="00B2496F" w:rsidRDefault="0098527B" w:rsidP="005A7088">
            <w:pPr>
              <w:spacing w:after="0"/>
              <w:rPr>
                <w:rFonts w:ascii="Arial" w:hAnsi="Arial" w:cs="Arial"/>
                <w:sz w:val="18"/>
                <w:szCs w:val="18"/>
              </w:rPr>
            </w:pPr>
            <w:r w:rsidRPr="00B2496F">
              <w:rPr>
                <w:rFonts w:ascii="Arial" w:hAnsi="Arial" w:cs="Arial"/>
                <w:sz w:val="18"/>
                <w:szCs w:val="18"/>
              </w:rPr>
              <w:t>8.7</w:t>
            </w:r>
          </w:p>
        </w:tc>
      </w:tr>
    </w:tbl>
    <w:p w:rsidR="00CA40B8" w:rsidRPr="00B2496F" w:rsidRDefault="00CA40B8" w:rsidP="0098527B">
      <w:pPr>
        <w:rPr>
          <w:rFonts w:ascii="Arial" w:hAnsi="Arial" w:cs="Arial"/>
          <w:sz w:val="20"/>
        </w:rPr>
      </w:pPr>
    </w:p>
    <w:p w:rsidR="00CA40B8" w:rsidRPr="00B2496F" w:rsidRDefault="00CA40B8">
      <w:pPr>
        <w:spacing w:after="160" w:line="259" w:lineRule="auto"/>
        <w:rPr>
          <w:rFonts w:ascii="Arial" w:hAnsi="Arial" w:cs="Arial"/>
          <w:sz w:val="20"/>
        </w:rPr>
      </w:pPr>
      <w:r w:rsidRPr="00B2496F">
        <w:rPr>
          <w:rFonts w:ascii="Arial" w:hAnsi="Arial" w:cs="Arial"/>
          <w:sz w:val="20"/>
        </w:rPr>
        <w:br w:type="page"/>
      </w:r>
    </w:p>
    <w:p w:rsidR="00CA40B8" w:rsidRPr="00B2496F" w:rsidRDefault="00CA40B8" w:rsidP="006E0FD6">
      <w:pPr>
        <w:pStyle w:val="aParagraafkop"/>
      </w:pPr>
      <w:r w:rsidRPr="00B2496F">
        <w:lastRenderedPageBreak/>
        <w:t xml:space="preserve">Supplementary Table 6: </w:t>
      </w:r>
      <w:r w:rsidRPr="00B2496F">
        <w:rPr>
          <w:b w:val="0"/>
        </w:rPr>
        <w:t>Comparison between SCORE2-OP and ASCVD risk engine</w:t>
      </w:r>
      <w:r w:rsidR="006E0FD6" w:rsidRPr="00B2496F">
        <w:rPr>
          <w:b w:val="0"/>
        </w:rPr>
        <w:t xml:space="preserve"> in terms of discrimination (Harrell’s C-statistic [95% confidence interval])</w:t>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1"/>
        <w:gridCol w:w="3021"/>
      </w:tblGrid>
      <w:tr w:rsidR="00CA40B8" w:rsidRPr="00B2496F" w:rsidTr="000120E2">
        <w:tc>
          <w:tcPr>
            <w:tcW w:w="3020" w:type="dxa"/>
            <w:tcBorders>
              <w:top w:val="single" w:sz="4" w:space="0" w:color="auto"/>
              <w:bottom w:val="single" w:sz="4" w:space="0" w:color="auto"/>
            </w:tcBorders>
          </w:tcPr>
          <w:p w:rsidR="00CA40B8" w:rsidRPr="00B2496F" w:rsidRDefault="00CA40B8" w:rsidP="000120E2">
            <w:pPr>
              <w:pStyle w:val="Geenafstand"/>
              <w:spacing w:line="276" w:lineRule="auto"/>
              <w:rPr>
                <w:rFonts w:ascii="Arial" w:hAnsi="Arial" w:cs="Arial"/>
                <w:sz w:val="18"/>
                <w:szCs w:val="20"/>
              </w:rPr>
            </w:pPr>
          </w:p>
        </w:tc>
        <w:tc>
          <w:tcPr>
            <w:tcW w:w="3021" w:type="dxa"/>
            <w:tcBorders>
              <w:top w:val="single" w:sz="4" w:space="0" w:color="auto"/>
              <w:bottom w:val="single" w:sz="4" w:space="0" w:color="auto"/>
            </w:tcBorders>
          </w:tcPr>
          <w:p w:rsidR="00CA40B8" w:rsidRPr="00B2496F" w:rsidRDefault="00CA40B8" w:rsidP="000120E2">
            <w:pPr>
              <w:pStyle w:val="Geenafstand"/>
              <w:spacing w:line="276" w:lineRule="auto"/>
              <w:rPr>
                <w:rFonts w:ascii="Arial" w:hAnsi="Arial" w:cs="Arial"/>
                <w:b/>
                <w:sz w:val="18"/>
                <w:szCs w:val="20"/>
              </w:rPr>
            </w:pPr>
            <w:r w:rsidRPr="00B2496F">
              <w:rPr>
                <w:rFonts w:ascii="Arial" w:hAnsi="Arial" w:cs="Arial"/>
                <w:b/>
                <w:sz w:val="18"/>
                <w:szCs w:val="20"/>
              </w:rPr>
              <w:t>ASCVD</w:t>
            </w:r>
          </w:p>
        </w:tc>
        <w:tc>
          <w:tcPr>
            <w:tcW w:w="3021" w:type="dxa"/>
            <w:tcBorders>
              <w:top w:val="single" w:sz="4" w:space="0" w:color="auto"/>
              <w:bottom w:val="single" w:sz="4" w:space="0" w:color="auto"/>
            </w:tcBorders>
          </w:tcPr>
          <w:p w:rsidR="00CA40B8" w:rsidRPr="00B2496F" w:rsidRDefault="00CA40B8" w:rsidP="000120E2">
            <w:pPr>
              <w:pStyle w:val="Geenafstand"/>
              <w:spacing w:line="276" w:lineRule="auto"/>
              <w:rPr>
                <w:rFonts w:ascii="Arial" w:hAnsi="Arial" w:cs="Arial"/>
                <w:b/>
                <w:sz w:val="18"/>
                <w:szCs w:val="20"/>
              </w:rPr>
            </w:pPr>
            <w:r w:rsidRPr="00B2496F">
              <w:rPr>
                <w:rFonts w:ascii="Arial" w:hAnsi="Arial" w:cs="Arial"/>
                <w:b/>
                <w:sz w:val="18"/>
                <w:szCs w:val="20"/>
              </w:rPr>
              <w:t>SCORE2-OP</w:t>
            </w:r>
          </w:p>
        </w:tc>
      </w:tr>
      <w:tr w:rsidR="00CA40B8" w:rsidRPr="00B2496F" w:rsidTr="000120E2">
        <w:tc>
          <w:tcPr>
            <w:tcW w:w="3020" w:type="dxa"/>
            <w:tcBorders>
              <w:top w:val="single" w:sz="4" w:space="0" w:color="auto"/>
            </w:tcBorders>
          </w:tcPr>
          <w:p w:rsidR="00CA40B8" w:rsidRPr="00B2496F" w:rsidRDefault="00CA40B8" w:rsidP="000120E2">
            <w:pPr>
              <w:pStyle w:val="Geenafstand"/>
              <w:spacing w:line="276" w:lineRule="auto"/>
              <w:rPr>
                <w:rFonts w:ascii="Arial" w:hAnsi="Arial" w:cs="Arial"/>
                <w:sz w:val="18"/>
                <w:szCs w:val="20"/>
              </w:rPr>
            </w:pPr>
            <w:r w:rsidRPr="00B2496F">
              <w:rPr>
                <w:rFonts w:ascii="Arial" w:hAnsi="Arial" w:cs="Arial"/>
                <w:sz w:val="18"/>
                <w:szCs w:val="20"/>
              </w:rPr>
              <w:t>ARIC</w:t>
            </w:r>
          </w:p>
        </w:tc>
        <w:tc>
          <w:tcPr>
            <w:tcW w:w="3021" w:type="dxa"/>
            <w:tcBorders>
              <w:top w:val="single" w:sz="4" w:space="0" w:color="auto"/>
            </w:tcBorders>
          </w:tcPr>
          <w:p w:rsidR="00CA40B8" w:rsidRPr="00B2496F" w:rsidRDefault="00CA40B8" w:rsidP="000120E2">
            <w:pPr>
              <w:pStyle w:val="Geenafstand"/>
              <w:spacing w:line="276" w:lineRule="auto"/>
              <w:rPr>
                <w:rFonts w:ascii="Arial" w:hAnsi="Arial" w:cs="Arial"/>
                <w:sz w:val="18"/>
                <w:szCs w:val="20"/>
              </w:rPr>
            </w:pPr>
            <w:r w:rsidRPr="00B2496F">
              <w:rPr>
                <w:rFonts w:ascii="Arial" w:hAnsi="Arial" w:cs="Arial"/>
                <w:sz w:val="18"/>
                <w:szCs w:val="20"/>
              </w:rPr>
              <w:t>0.644 (0.618-0.669)</w:t>
            </w:r>
          </w:p>
        </w:tc>
        <w:tc>
          <w:tcPr>
            <w:tcW w:w="3021" w:type="dxa"/>
            <w:tcBorders>
              <w:top w:val="single" w:sz="4" w:space="0" w:color="auto"/>
            </w:tcBorders>
          </w:tcPr>
          <w:p w:rsidR="00CA40B8" w:rsidRPr="00B2496F" w:rsidRDefault="00CA40B8" w:rsidP="000120E2">
            <w:pPr>
              <w:pStyle w:val="Geenafstand"/>
              <w:spacing w:line="276" w:lineRule="auto"/>
              <w:rPr>
                <w:rFonts w:ascii="Arial" w:hAnsi="Arial" w:cs="Arial"/>
                <w:sz w:val="18"/>
                <w:szCs w:val="20"/>
              </w:rPr>
            </w:pPr>
            <w:r w:rsidRPr="00B2496F">
              <w:rPr>
                <w:rFonts w:ascii="Arial" w:hAnsi="Arial" w:cs="Arial"/>
                <w:sz w:val="18"/>
                <w:szCs w:val="20"/>
              </w:rPr>
              <w:t>0.668 (0.643-0.693)</w:t>
            </w:r>
          </w:p>
        </w:tc>
      </w:tr>
      <w:tr w:rsidR="00D47D42" w:rsidRPr="00B2496F" w:rsidTr="000120E2">
        <w:tc>
          <w:tcPr>
            <w:tcW w:w="3020"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CPRD</w:t>
            </w:r>
          </w:p>
        </w:tc>
        <w:tc>
          <w:tcPr>
            <w:tcW w:w="3021"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0.663 (0.659-0.666)</w:t>
            </w:r>
          </w:p>
        </w:tc>
        <w:tc>
          <w:tcPr>
            <w:tcW w:w="3021"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0.657 (0.655-0.662)</w:t>
            </w:r>
          </w:p>
        </w:tc>
      </w:tr>
      <w:tr w:rsidR="00D47D42" w:rsidRPr="00B2496F" w:rsidTr="000120E2">
        <w:tc>
          <w:tcPr>
            <w:tcW w:w="3020"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MESA</w:t>
            </w:r>
          </w:p>
        </w:tc>
        <w:tc>
          <w:tcPr>
            <w:tcW w:w="3021"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0.645 (0.621-0.668)</w:t>
            </w:r>
          </w:p>
        </w:tc>
        <w:tc>
          <w:tcPr>
            <w:tcW w:w="3021" w:type="dxa"/>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0.654 (0.631-0.678)</w:t>
            </w:r>
          </w:p>
        </w:tc>
      </w:tr>
      <w:tr w:rsidR="00D47D42" w:rsidRPr="00B2496F" w:rsidTr="000120E2">
        <w:tc>
          <w:tcPr>
            <w:tcW w:w="3020" w:type="dxa"/>
            <w:tcBorders>
              <w:bottom w:val="single" w:sz="4" w:space="0" w:color="auto"/>
            </w:tcBorders>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Pooled trial populations</w:t>
            </w:r>
          </w:p>
        </w:tc>
        <w:tc>
          <w:tcPr>
            <w:tcW w:w="3021" w:type="dxa"/>
            <w:tcBorders>
              <w:bottom w:val="single" w:sz="4" w:space="0" w:color="auto"/>
            </w:tcBorders>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0.612 (0.593-0.630)</w:t>
            </w:r>
          </w:p>
        </w:tc>
        <w:tc>
          <w:tcPr>
            <w:tcW w:w="3021" w:type="dxa"/>
            <w:tcBorders>
              <w:bottom w:val="single" w:sz="4" w:space="0" w:color="auto"/>
            </w:tcBorders>
          </w:tcPr>
          <w:p w:rsidR="00D47D42" w:rsidRPr="00B2496F" w:rsidRDefault="00D47D42" w:rsidP="00D47D42">
            <w:pPr>
              <w:pStyle w:val="Geenafstand"/>
              <w:spacing w:line="276" w:lineRule="auto"/>
              <w:rPr>
                <w:rFonts w:ascii="Arial" w:hAnsi="Arial" w:cs="Arial"/>
                <w:sz w:val="18"/>
                <w:szCs w:val="20"/>
              </w:rPr>
            </w:pPr>
            <w:r w:rsidRPr="00B2496F">
              <w:rPr>
                <w:rFonts w:ascii="Arial" w:hAnsi="Arial" w:cs="Arial"/>
                <w:sz w:val="18"/>
                <w:szCs w:val="20"/>
              </w:rPr>
              <w:t>0.632 (0.613-0.651)</w:t>
            </w:r>
          </w:p>
        </w:tc>
      </w:tr>
    </w:tbl>
    <w:p w:rsidR="005A7088" w:rsidRPr="00B2496F" w:rsidRDefault="0098527B">
      <w:pPr>
        <w:spacing w:after="160" w:line="259" w:lineRule="auto"/>
        <w:rPr>
          <w:rFonts w:ascii="Arial" w:hAnsi="Arial" w:cs="Arial"/>
          <w:b/>
          <w:sz w:val="20"/>
        </w:rPr>
      </w:pPr>
      <w:r w:rsidRPr="00B2496F">
        <w:rPr>
          <w:rFonts w:ascii="Arial" w:hAnsi="Arial" w:cs="Arial"/>
          <w:b/>
          <w:sz w:val="20"/>
        </w:rPr>
        <w:br w:type="page"/>
      </w:r>
    </w:p>
    <w:p w:rsidR="005A7088" w:rsidRPr="00B2496F" w:rsidRDefault="005A7088" w:rsidP="005A7088">
      <w:pPr>
        <w:pStyle w:val="aParagraafkop"/>
      </w:pPr>
      <w:r w:rsidRPr="00B2496F">
        <w:lastRenderedPageBreak/>
        <w:t xml:space="preserve">Supplementary Table 7: </w:t>
      </w:r>
      <w:r w:rsidRPr="00B2496F">
        <w:rPr>
          <w:b w:val="0"/>
        </w:rPr>
        <w:t xml:space="preserve">Comparison of the </w:t>
      </w:r>
      <w:r w:rsidR="00C60D51" w:rsidRPr="00B2496F">
        <w:rPr>
          <w:b w:val="0"/>
        </w:rPr>
        <w:t xml:space="preserve">area under the curve of the </w:t>
      </w:r>
      <w:r w:rsidR="00365CB9" w:rsidRPr="00B2496F">
        <w:rPr>
          <w:b w:val="0"/>
        </w:rPr>
        <w:t xml:space="preserve">Model Harrell’s C-statistic, the 1-year time-dependent ROC and the </w:t>
      </w:r>
      <w:r w:rsidRPr="00B2496F">
        <w:rPr>
          <w:b w:val="0"/>
        </w:rPr>
        <w:t xml:space="preserve">time-dependent ROC </w:t>
      </w:r>
      <w:r w:rsidR="00365CB9" w:rsidRPr="00B2496F">
        <w:rPr>
          <w:b w:val="0"/>
        </w:rPr>
        <w:t>at longer follow-up</w:t>
      </w:r>
      <w:r w:rsidRPr="00B2496F">
        <w:rPr>
          <w:b w:val="0"/>
        </w:rPr>
        <w:t xml:space="preserve"> in the external validation cohorts</w:t>
      </w:r>
    </w:p>
    <w:tbl>
      <w:tblPr>
        <w:tblStyle w:val="Tabel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1836"/>
        <w:gridCol w:w="1843"/>
        <w:gridCol w:w="3543"/>
      </w:tblGrid>
      <w:tr w:rsidR="00365CB9" w:rsidRPr="00B2496F" w:rsidTr="00365CB9">
        <w:tc>
          <w:tcPr>
            <w:tcW w:w="2127" w:type="dxa"/>
            <w:tcBorders>
              <w:top w:val="single" w:sz="4" w:space="0" w:color="auto"/>
              <w:bottom w:val="single" w:sz="4" w:space="0" w:color="auto"/>
            </w:tcBorders>
          </w:tcPr>
          <w:p w:rsidR="00365CB9" w:rsidRPr="00B2496F" w:rsidRDefault="00365CB9" w:rsidP="00365CB9">
            <w:pPr>
              <w:pStyle w:val="Geenafstand"/>
              <w:spacing w:line="276" w:lineRule="auto"/>
              <w:rPr>
                <w:sz w:val="18"/>
                <w:szCs w:val="21"/>
              </w:rPr>
            </w:pPr>
          </w:p>
        </w:tc>
        <w:tc>
          <w:tcPr>
            <w:tcW w:w="1836" w:type="dxa"/>
            <w:tcBorders>
              <w:top w:val="single" w:sz="4" w:space="0" w:color="auto"/>
              <w:bottom w:val="single" w:sz="4" w:space="0" w:color="auto"/>
            </w:tcBorders>
          </w:tcPr>
          <w:p w:rsidR="00365CB9" w:rsidRPr="00B2496F" w:rsidRDefault="00365CB9" w:rsidP="00365CB9">
            <w:pPr>
              <w:pStyle w:val="Geenafstand"/>
              <w:spacing w:line="276" w:lineRule="auto"/>
              <w:rPr>
                <w:b/>
                <w:sz w:val="18"/>
                <w:szCs w:val="21"/>
              </w:rPr>
            </w:pPr>
            <w:r w:rsidRPr="00B2496F">
              <w:rPr>
                <w:b/>
                <w:sz w:val="18"/>
                <w:szCs w:val="21"/>
              </w:rPr>
              <w:t>Harrell’s C-statistic</w:t>
            </w:r>
          </w:p>
        </w:tc>
        <w:tc>
          <w:tcPr>
            <w:tcW w:w="1843" w:type="dxa"/>
            <w:tcBorders>
              <w:top w:val="single" w:sz="4" w:space="0" w:color="auto"/>
              <w:bottom w:val="single" w:sz="4" w:space="0" w:color="auto"/>
            </w:tcBorders>
          </w:tcPr>
          <w:p w:rsidR="00365CB9" w:rsidRPr="00B2496F" w:rsidRDefault="00365CB9" w:rsidP="00365CB9">
            <w:pPr>
              <w:pStyle w:val="Geenafstand"/>
              <w:spacing w:line="276" w:lineRule="auto"/>
              <w:rPr>
                <w:b/>
                <w:sz w:val="18"/>
                <w:szCs w:val="21"/>
              </w:rPr>
            </w:pPr>
            <w:r w:rsidRPr="00B2496F">
              <w:rPr>
                <w:b/>
                <w:sz w:val="18"/>
                <w:szCs w:val="21"/>
              </w:rPr>
              <w:t>1-year time-dependent ROC</w:t>
            </w:r>
          </w:p>
        </w:tc>
        <w:tc>
          <w:tcPr>
            <w:tcW w:w="3543" w:type="dxa"/>
            <w:tcBorders>
              <w:top w:val="single" w:sz="4" w:space="0" w:color="auto"/>
              <w:bottom w:val="single" w:sz="4" w:space="0" w:color="auto"/>
            </w:tcBorders>
          </w:tcPr>
          <w:p w:rsidR="00365CB9" w:rsidRPr="00B2496F" w:rsidRDefault="00365CB9" w:rsidP="00365CB9">
            <w:pPr>
              <w:pStyle w:val="Geenafstand"/>
              <w:spacing w:line="276" w:lineRule="auto"/>
              <w:rPr>
                <w:b/>
                <w:sz w:val="18"/>
                <w:szCs w:val="21"/>
              </w:rPr>
            </w:pPr>
            <w:r w:rsidRPr="00B2496F">
              <w:rPr>
                <w:b/>
                <w:sz w:val="18"/>
                <w:szCs w:val="21"/>
              </w:rPr>
              <w:t>Time-dependent ROC**</w:t>
            </w:r>
          </w:p>
        </w:tc>
      </w:tr>
      <w:tr w:rsidR="00365CB9" w:rsidRPr="00B2496F" w:rsidTr="00365CB9">
        <w:tc>
          <w:tcPr>
            <w:tcW w:w="2127" w:type="dxa"/>
            <w:tcBorders>
              <w:top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ARIC</w:t>
            </w:r>
          </w:p>
        </w:tc>
        <w:tc>
          <w:tcPr>
            <w:tcW w:w="1836" w:type="dxa"/>
            <w:tcBorders>
              <w:top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0.668 (0.643-0.693)</w:t>
            </w:r>
          </w:p>
        </w:tc>
        <w:tc>
          <w:tcPr>
            <w:tcW w:w="1843" w:type="dxa"/>
            <w:tcBorders>
              <w:top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0.711 (0.646-0.777)</w:t>
            </w:r>
          </w:p>
        </w:tc>
        <w:tc>
          <w:tcPr>
            <w:tcW w:w="3543" w:type="dxa"/>
            <w:tcBorders>
              <w:top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0.683 (0.655-0.710) at 5 years follow-up</w:t>
            </w:r>
          </w:p>
        </w:tc>
      </w:tr>
      <w:tr w:rsidR="00365CB9" w:rsidRPr="00B2496F" w:rsidTr="00365CB9">
        <w:tc>
          <w:tcPr>
            <w:tcW w:w="2127" w:type="dxa"/>
          </w:tcPr>
          <w:p w:rsidR="00365CB9" w:rsidRPr="00B2496F" w:rsidRDefault="00365CB9" w:rsidP="00365CB9">
            <w:pPr>
              <w:pStyle w:val="Geenafstand"/>
              <w:spacing w:line="276" w:lineRule="auto"/>
              <w:rPr>
                <w:sz w:val="18"/>
                <w:szCs w:val="21"/>
              </w:rPr>
            </w:pPr>
            <w:r w:rsidRPr="00B2496F">
              <w:rPr>
                <w:sz w:val="18"/>
                <w:szCs w:val="21"/>
              </w:rPr>
              <w:t>CPRD*</w:t>
            </w:r>
          </w:p>
        </w:tc>
        <w:tc>
          <w:tcPr>
            <w:tcW w:w="1836" w:type="dxa"/>
          </w:tcPr>
          <w:p w:rsidR="00365CB9" w:rsidRPr="00B2496F" w:rsidRDefault="00365CB9" w:rsidP="00365CB9">
            <w:pPr>
              <w:pStyle w:val="Geenafstand"/>
              <w:spacing w:line="276" w:lineRule="auto"/>
              <w:rPr>
                <w:sz w:val="18"/>
                <w:szCs w:val="21"/>
              </w:rPr>
            </w:pPr>
            <w:r w:rsidRPr="00B2496F">
              <w:rPr>
                <w:sz w:val="18"/>
                <w:szCs w:val="21"/>
              </w:rPr>
              <w:t>0.657 (0.655-0.662)</w:t>
            </w:r>
          </w:p>
        </w:tc>
        <w:tc>
          <w:tcPr>
            <w:tcW w:w="1843" w:type="dxa"/>
          </w:tcPr>
          <w:p w:rsidR="00365CB9" w:rsidRPr="00B2496F" w:rsidRDefault="00365CB9" w:rsidP="00365CB9">
            <w:pPr>
              <w:pStyle w:val="Geenafstand"/>
              <w:spacing w:line="276" w:lineRule="auto"/>
              <w:rPr>
                <w:sz w:val="18"/>
                <w:szCs w:val="21"/>
              </w:rPr>
            </w:pPr>
            <w:r w:rsidRPr="00B2496F">
              <w:rPr>
                <w:sz w:val="18"/>
                <w:szCs w:val="21"/>
              </w:rPr>
              <w:t>0.679 (0.669, 0.688)</w:t>
            </w:r>
          </w:p>
        </w:tc>
        <w:tc>
          <w:tcPr>
            <w:tcW w:w="3543" w:type="dxa"/>
          </w:tcPr>
          <w:p w:rsidR="00365CB9" w:rsidRPr="00B2496F" w:rsidRDefault="00365CB9" w:rsidP="00365CB9">
            <w:pPr>
              <w:pStyle w:val="Geenafstand"/>
              <w:spacing w:line="276" w:lineRule="auto"/>
              <w:rPr>
                <w:sz w:val="18"/>
                <w:szCs w:val="21"/>
              </w:rPr>
            </w:pPr>
            <w:r w:rsidRPr="00B2496F">
              <w:rPr>
                <w:sz w:val="18"/>
                <w:szCs w:val="21"/>
              </w:rPr>
              <w:t>0.646 (0.642-0.650) at 10 years follow-up</w:t>
            </w:r>
          </w:p>
        </w:tc>
      </w:tr>
      <w:tr w:rsidR="00365CB9" w:rsidRPr="00B2496F" w:rsidTr="00365CB9">
        <w:tc>
          <w:tcPr>
            <w:tcW w:w="2127" w:type="dxa"/>
          </w:tcPr>
          <w:p w:rsidR="00365CB9" w:rsidRPr="00B2496F" w:rsidRDefault="00365CB9" w:rsidP="00365CB9">
            <w:pPr>
              <w:pStyle w:val="Geenafstand"/>
              <w:spacing w:line="276" w:lineRule="auto"/>
              <w:rPr>
                <w:sz w:val="18"/>
                <w:szCs w:val="21"/>
              </w:rPr>
            </w:pPr>
            <w:r w:rsidRPr="00B2496F">
              <w:rPr>
                <w:sz w:val="18"/>
                <w:szCs w:val="21"/>
              </w:rPr>
              <w:t>MESA</w:t>
            </w:r>
          </w:p>
        </w:tc>
        <w:tc>
          <w:tcPr>
            <w:tcW w:w="1836" w:type="dxa"/>
          </w:tcPr>
          <w:p w:rsidR="00365CB9" w:rsidRPr="00B2496F" w:rsidRDefault="00365CB9" w:rsidP="00365CB9">
            <w:pPr>
              <w:pStyle w:val="Geenafstand"/>
              <w:spacing w:line="276" w:lineRule="auto"/>
              <w:rPr>
                <w:sz w:val="18"/>
                <w:szCs w:val="21"/>
              </w:rPr>
            </w:pPr>
            <w:r w:rsidRPr="00B2496F">
              <w:rPr>
                <w:sz w:val="18"/>
                <w:szCs w:val="21"/>
              </w:rPr>
              <w:t>0.654 (0.631-0.678)</w:t>
            </w:r>
          </w:p>
        </w:tc>
        <w:tc>
          <w:tcPr>
            <w:tcW w:w="1843" w:type="dxa"/>
          </w:tcPr>
          <w:p w:rsidR="00365CB9" w:rsidRPr="00B2496F" w:rsidRDefault="00365CB9" w:rsidP="00365CB9">
            <w:pPr>
              <w:pStyle w:val="Geenafstand"/>
              <w:spacing w:line="276" w:lineRule="auto"/>
              <w:rPr>
                <w:sz w:val="18"/>
                <w:szCs w:val="21"/>
              </w:rPr>
            </w:pPr>
            <w:r w:rsidRPr="00B2496F">
              <w:rPr>
                <w:sz w:val="18"/>
                <w:szCs w:val="21"/>
              </w:rPr>
              <w:t>0.701 (0.626-0.794)</w:t>
            </w:r>
          </w:p>
        </w:tc>
        <w:tc>
          <w:tcPr>
            <w:tcW w:w="3543" w:type="dxa"/>
          </w:tcPr>
          <w:p w:rsidR="00365CB9" w:rsidRPr="00B2496F" w:rsidRDefault="00365CB9" w:rsidP="00365CB9">
            <w:pPr>
              <w:pStyle w:val="Geenafstand"/>
              <w:spacing w:line="276" w:lineRule="auto"/>
              <w:rPr>
                <w:sz w:val="18"/>
                <w:szCs w:val="21"/>
              </w:rPr>
            </w:pPr>
            <w:r w:rsidRPr="00B2496F">
              <w:rPr>
                <w:sz w:val="18"/>
                <w:szCs w:val="21"/>
              </w:rPr>
              <w:t>0.692 (0.663-0.721)  at 10 years follow-up</w:t>
            </w:r>
          </w:p>
        </w:tc>
      </w:tr>
      <w:tr w:rsidR="00365CB9" w:rsidRPr="00B2496F" w:rsidTr="00365CB9">
        <w:tc>
          <w:tcPr>
            <w:tcW w:w="2127" w:type="dxa"/>
            <w:tcBorders>
              <w:bottom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Pooled trial populations</w:t>
            </w:r>
          </w:p>
        </w:tc>
        <w:tc>
          <w:tcPr>
            <w:tcW w:w="1836" w:type="dxa"/>
            <w:tcBorders>
              <w:bottom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0.632 (0.613-0.651)</w:t>
            </w:r>
          </w:p>
        </w:tc>
        <w:tc>
          <w:tcPr>
            <w:tcW w:w="1843" w:type="dxa"/>
            <w:tcBorders>
              <w:bottom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0.639 (0.657-0.670)</w:t>
            </w:r>
          </w:p>
        </w:tc>
        <w:tc>
          <w:tcPr>
            <w:tcW w:w="3543" w:type="dxa"/>
            <w:tcBorders>
              <w:bottom w:val="single" w:sz="4" w:space="0" w:color="auto"/>
            </w:tcBorders>
          </w:tcPr>
          <w:p w:rsidR="00365CB9" w:rsidRPr="00B2496F" w:rsidRDefault="00365CB9" w:rsidP="00365CB9">
            <w:pPr>
              <w:pStyle w:val="Geenafstand"/>
              <w:spacing w:line="276" w:lineRule="auto"/>
              <w:rPr>
                <w:sz w:val="18"/>
                <w:szCs w:val="21"/>
              </w:rPr>
            </w:pPr>
            <w:r w:rsidRPr="00B2496F">
              <w:rPr>
                <w:sz w:val="18"/>
                <w:szCs w:val="21"/>
              </w:rPr>
              <w:t>0.677 (0.657-0.698) at 3 years follow-up</w:t>
            </w:r>
          </w:p>
        </w:tc>
      </w:tr>
    </w:tbl>
    <w:p w:rsidR="00365CB9" w:rsidRPr="00B2496F" w:rsidRDefault="00C60D51" w:rsidP="0098527B">
      <w:pPr>
        <w:rPr>
          <w:rFonts w:ascii="Arial" w:eastAsiaTheme="majorEastAsia" w:hAnsi="Arial" w:cs="Arial"/>
          <w:sz w:val="18"/>
          <w:szCs w:val="24"/>
        </w:rPr>
      </w:pPr>
      <w:r w:rsidRPr="00B2496F">
        <w:rPr>
          <w:rFonts w:ascii="Arial" w:eastAsiaTheme="majorEastAsia" w:hAnsi="Arial" w:cs="Arial"/>
          <w:b/>
          <w:sz w:val="20"/>
          <w:szCs w:val="24"/>
        </w:rPr>
        <w:t xml:space="preserve">* </w:t>
      </w:r>
      <w:r w:rsidRPr="00B2496F">
        <w:rPr>
          <w:rFonts w:ascii="Arial" w:eastAsiaTheme="majorEastAsia" w:hAnsi="Arial" w:cs="Arial"/>
          <w:sz w:val="18"/>
          <w:szCs w:val="24"/>
        </w:rPr>
        <w:t xml:space="preserve">Due to computational reasons, the time-dependent ROC was calculated using an unweighted rather than the weighted approach used in the other study populations. In this approach, patients censored without an event </w:t>
      </w:r>
      <w:r w:rsidRPr="00B2496F">
        <w:rPr>
          <w:rFonts w:ascii="Arial" w:eastAsiaTheme="majorEastAsia" w:hAnsi="Arial" w:cs="Arial"/>
          <w:i/>
          <w:sz w:val="18"/>
          <w:szCs w:val="24"/>
        </w:rPr>
        <w:t>before</w:t>
      </w:r>
      <w:r w:rsidRPr="00B2496F">
        <w:rPr>
          <w:rFonts w:ascii="Arial" w:eastAsiaTheme="majorEastAsia" w:hAnsi="Arial" w:cs="Arial"/>
          <w:sz w:val="18"/>
          <w:szCs w:val="24"/>
        </w:rPr>
        <w:t xml:space="preserve"> 10 years follow-up were not included. This can lead to an underestimation of the actual area under the curve of the time-dependent ROC.</w:t>
      </w:r>
    </w:p>
    <w:p w:rsidR="00365CB9" w:rsidRPr="00B2496F" w:rsidRDefault="00365CB9" w:rsidP="0098527B">
      <w:pPr>
        <w:rPr>
          <w:rFonts w:ascii="Arial" w:eastAsiaTheme="majorEastAsia" w:hAnsi="Arial" w:cs="Arial"/>
          <w:sz w:val="18"/>
          <w:szCs w:val="24"/>
        </w:rPr>
      </w:pPr>
      <w:r w:rsidRPr="00B2496F">
        <w:rPr>
          <w:rFonts w:ascii="Arial" w:eastAsiaTheme="majorEastAsia" w:hAnsi="Arial" w:cs="Arial"/>
          <w:sz w:val="18"/>
          <w:szCs w:val="24"/>
        </w:rPr>
        <w:t>** Years of follow-up depending on the maximum number of years of follow-up available per study population that could give a reliable estimate of model performance, with a maximum of 10 years</w:t>
      </w:r>
    </w:p>
    <w:p w:rsidR="005A7088" w:rsidRPr="00B2496F" w:rsidRDefault="005A7088">
      <w:pPr>
        <w:spacing w:after="160" w:line="259" w:lineRule="auto"/>
        <w:rPr>
          <w:rStyle w:val="gPlaatjenrChar"/>
          <w:bCs/>
          <w:iCs/>
        </w:rPr>
      </w:pPr>
      <w:r w:rsidRPr="00B2496F">
        <w:rPr>
          <w:rStyle w:val="gPlaatjenrChar"/>
          <w:b w:val="0"/>
          <w:bCs/>
          <w:iCs/>
        </w:rPr>
        <w:br w:type="page"/>
      </w:r>
    </w:p>
    <w:p w:rsidR="003C2BA4" w:rsidRPr="00B2496F" w:rsidRDefault="003C2BA4" w:rsidP="003C2BA4">
      <w:pPr>
        <w:pStyle w:val="aParagraafkop"/>
        <w:rPr>
          <w:rStyle w:val="gPlaatjenrChar"/>
          <w:b/>
          <w:bCs/>
          <w:iCs/>
        </w:rPr>
      </w:pPr>
      <w:r w:rsidRPr="00B2496F">
        <w:rPr>
          <w:rStyle w:val="gPlaatjenrChar"/>
          <w:b/>
          <w:bCs/>
          <w:iCs/>
        </w:rPr>
        <w:lastRenderedPageBreak/>
        <w:t xml:space="preserve">Supplementary Figure </w:t>
      </w:r>
      <w:r w:rsidR="00A91FDB" w:rsidRPr="00B2496F">
        <w:rPr>
          <w:rStyle w:val="gPlaatjenrChar"/>
          <w:b/>
          <w:bCs/>
          <w:iCs/>
        </w:rPr>
        <w:t>1</w:t>
      </w:r>
      <w:r w:rsidRPr="00B2496F">
        <w:rPr>
          <w:rStyle w:val="gPlaatjenrChar"/>
          <w:b/>
          <w:bCs/>
          <w:iCs/>
        </w:rPr>
        <w:t>:</w:t>
      </w:r>
      <w:r w:rsidRPr="00B2496F">
        <w:rPr>
          <w:rStyle w:val="gPlaatjenrChar"/>
          <w:bCs/>
          <w:iCs/>
        </w:rPr>
        <w:t xml:space="preserve"> The distribution of countries in risk regions based on the age-standardized CVD mortality rates</w:t>
      </w:r>
    </w:p>
    <w:p w:rsidR="003C2BA4" w:rsidRPr="00B2496F" w:rsidRDefault="003C2BA4" w:rsidP="003C2BA4">
      <w:pPr>
        <w:rPr>
          <w:rStyle w:val="gPlaatjenrChar"/>
        </w:rPr>
      </w:pPr>
      <w:r w:rsidRPr="00B2496F">
        <w:rPr>
          <w:rFonts w:ascii="Arial" w:hAnsi="Arial" w:cs="Arial"/>
          <w:b/>
          <w:noProof/>
          <w:sz w:val="20"/>
          <w:lang w:val="nl-NL" w:eastAsia="nl-NL"/>
        </w:rPr>
        <w:drawing>
          <wp:inline distT="0" distB="0" distL="0" distR="0" wp14:anchorId="306D900F" wp14:editId="763C6AA2">
            <wp:extent cx="6329966" cy="3409950"/>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2 countrie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34610" cy="3412452"/>
                    </a:xfrm>
                    <a:prstGeom prst="rect">
                      <a:avLst/>
                    </a:prstGeom>
                  </pic:spPr>
                </pic:pic>
              </a:graphicData>
            </a:graphic>
          </wp:inline>
        </w:drawing>
      </w:r>
    </w:p>
    <w:p w:rsidR="003C2BA4" w:rsidRPr="00B2496F" w:rsidRDefault="003C2BA4" w:rsidP="003C2BA4">
      <w:pPr>
        <w:pStyle w:val="dGewonetekst"/>
      </w:pPr>
      <w:r w:rsidRPr="00B2496F">
        <w:t>Countries were grouped into four risk regions according to their most recently reported WHO age- and sex-standardized overall CVD mortality rates per 100,000 population (ICD chapters 9, I00-I99). The four groupings were: low risk (&lt;100 CVD deaths per 100,000), moderate risk (100 to &lt;150 CVD deaths per 100,000), high risk (150 to &lt;300 CVD deaths per 100,000), and very high risk (≥300 CVD deaths per 100,000).</w:t>
      </w:r>
    </w:p>
    <w:p w:rsidR="003C2BA4" w:rsidRPr="00B2496F" w:rsidRDefault="003C2BA4">
      <w:pPr>
        <w:spacing w:after="160" w:line="259" w:lineRule="auto"/>
        <w:rPr>
          <w:rFonts w:ascii="Arial" w:eastAsiaTheme="majorEastAsia" w:hAnsi="Arial" w:cs="Arial"/>
          <w:b/>
          <w:sz w:val="20"/>
          <w:szCs w:val="20"/>
        </w:rPr>
      </w:pPr>
      <w:r w:rsidRPr="00B2496F">
        <w:br w:type="page"/>
      </w:r>
    </w:p>
    <w:p w:rsidR="00C26AF6" w:rsidRPr="00B2496F" w:rsidRDefault="00F45927" w:rsidP="001401F8">
      <w:pPr>
        <w:pStyle w:val="aParagraafkop"/>
      </w:pPr>
      <w:r w:rsidRPr="00B2496F">
        <w:lastRenderedPageBreak/>
        <w:t xml:space="preserve">Supplementary Figure </w:t>
      </w:r>
      <w:r w:rsidR="00A91FDB" w:rsidRPr="00B2496F">
        <w:t>2</w:t>
      </w:r>
      <w:r w:rsidR="00C26AF6" w:rsidRPr="00B2496F">
        <w:t xml:space="preserve">: </w:t>
      </w:r>
      <w:r w:rsidR="00C26AF6" w:rsidRPr="00B2496F">
        <w:rPr>
          <w:b w:val="0"/>
        </w:rPr>
        <w:t>The relative effect of risk factors at different ages (black=male; red=female)</w:t>
      </w:r>
    </w:p>
    <w:p w:rsidR="00C26AF6" w:rsidRPr="00B2496F" w:rsidRDefault="00DB04DE" w:rsidP="00C26AF6">
      <w:pPr>
        <w:pStyle w:val="Geenafstand"/>
        <w:jc w:val="both"/>
        <w:rPr>
          <w:rFonts w:ascii="Arial" w:hAnsi="Arial" w:cs="Arial"/>
          <w:sz w:val="20"/>
          <w:lang w:val="en-US"/>
        </w:rPr>
      </w:pPr>
      <w:r w:rsidRPr="00B2496F">
        <w:rPr>
          <w:rFonts w:ascii="Arial" w:hAnsi="Arial" w:cs="Arial"/>
          <w:noProof/>
          <w:sz w:val="20"/>
          <w:lang w:eastAsia="nl-NL"/>
        </w:rPr>
        <w:drawing>
          <wp:inline distT="0" distB="0" distL="0" distR="0">
            <wp:extent cx="5940000" cy="3960000"/>
            <wp:effectExtent l="0" t="0" r="3810" b="254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Fig coef age 20201113.jpe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0000" cy="3960000"/>
                    </a:xfrm>
                    <a:prstGeom prst="rect">
                      <a:avLst/>
                    </a:prstGeom>
                  </pic:spPr>
                </pic:pic>
              </a:graphicData>
            </a:graphic>
          </wp:inline>
        </w:drawing>
      </w:r>
    </w:p>
    <w:p w:rsidR="00F47B08" w:rsidRPr="00B2496F" w:rsidRDefault="00F47B08">
      <w:pPr>
        <w:spacing w:after="160" w:line="259" w:lineRule="auto"/>
        <w:rPr>
          <w:rFonts w:ascii="Arial" w:hAnsi="Arial" w:cs="Arial"/>
          <w:sz w:val="20"/>
        </w:rPr>
      </w:pPr>
      <w:r w:rsidRPr="00B2496F">
        <w:rPr>
          <w:rFonts w:ascii="Arial" w:hAnsi="Arial" w:cs="Arial"/>
          <w:sz w:val="20"/>
        </w:rPr>
        <w:br w:type="page"/>
      </w:r>
    </w:p>
    <w:p w:rsidR="00F47B08" w:rsidRPr="00B2496F" w:rsidRDefault="00F45927" w:rsidP="001401F8">
      <w:pPr>
        <w:pStyle w:val="aParagraafkop"/>
      </w:pPr>
      <w:r w:rsidRPr="00B2496F">
        <w:lastRenderedPageBreak/>
        <w:t xml:space="preserve">Supplementary Figure </w:t>
      </w:r>
      <w:r w:rsidR="00A91FDB" w:rsidRPr="00B2496F">
        <w:t>3</w:t>
      </w:r>
      <w:r w:rsidR="00F47B08" w:rsidRPr="00B2496F">
        <w:t xml:space="preserve">: </w:t>
      </w:r>
      <w:r w:rsidR="00F47B08" w:rsidRPr="00B2496F">
        <w:rPr>
          <w:b w:val="0"/>
        </w:rPr>
        <w:t>Calibration plots of observed versus estimated risks in deciles of risk in the CONOR study population (internal validation) for (left) CV</w:t>
      </w:r>
      <w:r w:rsidR="005F2F22" w:rsidRPr="00B2496F">
        <w:rPr>
          <w:b w:val="0"/>
        </w:rPr>
        <w:t>D</w:t>
      </w:r>
      <w:r w:rsidR="00F47B08" w:rsidRPr="00B2496F">
        <w:rPr>
          <w:b w:val="0"/>
        </w:rPr>
        <w:t xml:space="preserve"> event risk, and (right) CV</w:t>
      </w:r>
      <w:r w:rsidR="005F2F22" w:rsidRPr="00B2496F">
        <w:rPr>
          <w:b w:val="0"/>
        </w:rPr>
        <w:t>D</w:t>
      </w:r>
      <w:r w:rsidR="00F47B08" w:rsidRPr="00B2496F">
        <w:rPr>
          <w:b w:val="0"/>
        </w:rPr>
        <w:t xml:space="preserve"> event risk including hospitalization for heart failure</w:t>
      </w:r>
    </w:p>
    <w:p w:rsidR="002527A7" w:rsidRPr="00B2496F" w:rsidRDefault="00F47B08" w:rsidP="00225592">
      <w:pPr>
        <w:pStyle w:val="dGewonetekst"/>
      </w:pPr>
      <w:r w:rsidRPr="00B2496F">
        <w:rPr>
          <w:noProof/>
          <w:lang w:val="nl-NL" w:eastAsia="nl-NL"/>
        </w:rPr>
        <w:drawing>
          <wp:inline distT="0" distB="0" distL="0" distR="0">
            <wp:extent cx="5939470" cy="3239711"/>
            <wp:effectExtent l="0" t="0" r="444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ternal validation CONOR 20201010.jpe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39470" cy="3239711"/>
                    </a:xfrm>
                    <a:prstGeom prst="rect">
                      <a:avLst/>
                    </a:prstGeom>
                  </pic:spPr>
                </pic:pic>
              </a:graphicData>
            </a:graphic>
          </wp:inline>
        </w:drawing>
      </w:r>
    </w:p>
    <w:p w:rsidR="002527A7" w:rsidRPr="00B2496F" w:rsidRDefault="002527A7">
      <w:pPr>
        <w:spacing w:after="160" w:line="259" w:lineRule="auto"/>
        <w:rPr>
          <w:rFonts w:ascii="Times New Roman" w:eastAsiaTheme="majorEastAsia" w:hAnsi="Times New Roman" w:cs="Times New Roman"/>
          <w:color w:val="000000" w:themeColor="text1"/>
          <w:spacing w:val="-4"/>
          <w:szCs w:val="24"/>
        </w:rPr>
      </w:pPr>
      <w:r w:rsidRPr="00B2496F">
        <w:br w:type="page"/>
      </w:r>
    </w:p>
    <w:p w:rsidR="002527A7" w:rsidRPr="00B2496F" w:rsidRDefault="002527A7" w:rsidP="001401F8">
      <w:pPr>
        <w:pStyle w:val="aParagraafkop"/>
      </w:pPr>
      <w:r w:rsidRPr="00B2496F">
        <w:lastRenderedPageBreak/>
        <w:t xml:space="preserve">Supplementary Figure </w:t>
      </w:r>
      <w:r w:rsidR="00A91FDB" w:rsidRPr="00B2496F">
        <w:t>4</w:t>
      </w:r>
      <w:r w:rsidRPr="00B2496F">
        <w:t xml:space="preserve">: </w:t>
      </w:r>
      <w:r w:rsidRPr="00B2496F">
        <w:rPr>
          <w:b w:val="0"/>
        </w:rPr>
        <w:t>Cardiovascular mortality and incidence in all risk regions in the entire middle-aged and older population.</w:t>
      </w:r>
    </w:p>
    <w:p w:rsidR="00F47B08" w:rsidRPr="00B2496F" w:rsidRDefault="00841F8D" w:rsidP="00225592">
      <w:pPr>
        <w:pStyle w:val="dGewonetekst"/>
      </w:pPr>
      <w:r w:rsidRPr="00B2496F">
        <w:rPr>
          <w:noProof/>
          <w:lang w:val="nl-NL" w:eastAsia="nl-NL"/>
        </w:rPr>
        <w:drawing>
          <wp:inline distT="0" distB="0" distL="0" distR="0">
            <wp:extent cx="5943600" cy="5943600"/>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Fig rates mortality+events in all regions 20210303.jpe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rsidR="00841F8D" w:rsidRPr="00B2496F" w:rsidRDefault="00841F8D" w:rsidP="00225592">
      <w:pPr>
        <w:pStyle w:val="dGewonetekst"/>
      </w:pPr>
      <w:r w:rsidRPr="00B2496F">
        <w:t>Regional age- and sex-specific CVD mortality rates (left) in the general population; regional age- and sex-specific CVD event rates in the primary prevention setting.</w:t>
      </w:r>
    </w:p>
    <w:p w:rsidR="00F47B08" w:rsidRPr="00B2496F" w:rsidRDefault="00F47B08" w:rsidP="00C26AF6">
      <w:pPr>
        <w:pStyle w:val="Geenafstand"/>
        <w:jc w:val="both"/>
        <w:rPr>
          <w:rFonts w:ascii="Arial" w:hAnsi="Arial" w:cs="Arial"/>
          <w:sz w:val="20"/>
          <w:lang w:val="en-US"/>
        </w:rPr>
      </w:pPr>
    </w:p>
    <w:p w:rsidR="00C26AF6" w:rsidRPr="00B2496F" w:rsidRDefault="00C26AF6" w:rsidP="00C26AF6">
      <w:pPr>
        <w:rPr>
          <w:rFonts w:ascii="Arial" w:hAnsi="Arial" w:cs="Arial"/>
          <w:sz w:val="20"/>
        </w:rPr>
      </w:pPr>
      <w:r w:rsidRPr="00B2496F">
        <w:rPr>
          <w:rFonts w:ascii="Arial" w:hAnsi="Arial" w:cs="Arial"/>
          <w:sz w:val="20"/>
        </w:rPr>
        <w:br w:type="page"/>
      </w:r>
    </w:p>
    <w:p w:rsidR="00A91FDB" w:rsidRPr="00B2496F" w:rsidRDefault="00A91FDB" w:rsidP="00A91FDB">
      <w:pPr>
        <w:pStyle w:val="aParagraafkop"/>
      </w:pPr>
      <w:r w:rsidRPr="00B2496F">
        <w:lastRenderedPageBreak/>
        <w:t xml:space="preserve">Supplementary Figure 5: </w:t>
      </w:r>
      <w:r w:rsidRPr="00B2496F">
        <w:rPr>
          <w:b w:val="0"/>
        </w:rPr>
        <w:t>Estimated CVD incidence rates and predicted risks</w:t>
      </w:r>
    </w:p>
    <w:p w:rsidR="00A91FDB" w:rsidRPr="00B2496F" w:rsidRDefault="00A91FDB" w:rsidP="00A91FDB">
      <w:pPr>
        <w:pStyle w:val="Geenafstand"/>
        <w:jc w:val="both"/>
        <w:rPr>
          <w:rFonts w:ascii="Arial" w:eastAsiaTheme="majorEastAsia" w:hAnsi="Arial" w:cs="Arial"/>
          <w:b/>
          <w:sz w:val="20"/>
          <w:szCs w:val="24"/>
          <w:lang w:val="en-US"/>
        </w:rPr>
      </w:pPr>
      <w:r w:rsidRPr="00B2496F">
        <w:rPr>
          <w:rFonts w:ascii="Arial" w:hAnsi="Arial" w:cs="Arial"/>
          <w:b/>
          <w:noProof/>
          <w:sz w:val="20"/>
          <w:lang w:eastAsia="nl-NL"/>
        </w:rPr>
        <w:drawing>
          <wp:inline distT="0" distB="0" distL="0" distR="0" wp14:anchorId="4E4568F7" wp14:editId="57D8BD19">
            <wp:extent cx="5939999" cy="8027025"/>
            <wp:effectExtent l="0" t="0" r="381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Fig obs vs pred WHO ecvd 20201010.jpe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39999" cy="8027025"/>
                    </a:xfrm>
                    <a:prstGeom prst="rect">
                      <a:avLst/>
                    </a:prstGeom>
                  </pic:spPr>
                </pic:pic>
              </a:graphicData>
            </a:graphic>
          </wp:inline>
        </w:drawing>
      </w:r>
      <w:r w:rsidRPr="00B2496F">
        <w:rPr>
          <w:rFonts w:ascii="Arial" w:hAnsi="Arial" w:cs="Arial"/>
          <w:sz w:val="20"/>
          <w:lang w:val="en-US"/>
        </w:rPr>
        <w:br w:type="page"/>
      </w:r>
    </w:p>
    <w:p w:rsidR="008B5041" w:rsidRPr="00B2496F" w:rsidRDefault="008B5041" w:rsidP="008B5041">
      <w:pPr>
        <w:pStyle w:val="aParagraafkop"/>
      </w:pPr>
      <w:r w:rsidRPr="00B2496F">
        <w:lastRenderedPageBreak/>
        <w:t xml:space="preserve">Supplementary Figure 6: </w:t>
      </w:r>
      <w:r w:rsidRPr="00B2496F">
        <w:rPr>
          <w:b w:val="0"/>
        </w:rPr>
        <w:t>Calibration plots of observed versus estimated (O/E) risks with O/E ratios within deciles of the external validation study populations. Risks were estimated for 3, 5, or 10 year time periods depending on available follow-up  per study.</w:t>
      </w:r>
    </w:p>
    <w:p w:rsidR="008B5041" w:rsidRPr="00B2496F" w:rsidRDefault="008B5041" w:rsidP="008B5041">
      <w:pPr>
        <w:pStyle w:val="dGewonetekst"/>
      </w:pPr>
      <w:r w:rsidRPr="00B2496F">
        <w:rPr>
          <w:noProof/>
          <w:lang w:val="nl-NL" w:eastAsia="nl-NL"/>
        </w:rPr>
        <w:drawing>
          <wp:inline distT="0" distB="0" distL="0" distR="0" wp14:anchorId="58D88B35" wp14:editId="06616658">
            <wp:extent cx="5943600" cy="6315075"/>
            <wp:effectExtent l="0" t="0" r="0" b="952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libration ecvd with EO 20210308.tif"/>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6315075"/>
                    </a:xfrm>
                    <a:prstGeom prst="rect">
                      <a:avLst/>
                    </a:prstGeom>
                  </pic:spPr>
                </pic:pic>
              </a:graphicData>
            </a:graphic>
          </wp:inline>
        </w:drawing>
      </w:r>
    </w:p>
    <w:p w:rsidR="008B5041" w:rsidRPr="00B2496F" w:rsidRDefault="008B5041" w:rsidP="008B5041">
      <w:pPr>
        <w:pStyle w:val="dGewonetekst"/>
      </w:pPr>
      <w:r w:rsidRPr="00B2496F">
        <w:t xml:space="preserve">The estimated risks were recalibrated per study using the study-specific O/E ratio. The O/E ratio reflects the difference in baseline risk between the study population and risk region from which the study population comes, which may be affected due to participant selection and timeliness of the data. </w:t>
      </w:r>
    </w:p>
    <w:p w:rsidR="008B5041" w:rsidRPr="00B2496F" w:rsidRDefault="008B5041" w:rsidP="008B5041">
      <w:pPr>
        <w:pStyle w:val="dGewonetekst"/>
      </w:pPr>
    </w:p>
    <w:p w:rsidR="00B2496F" w:rsidRPr="00B2496F" w:rsidRDefault="00B2496F" w:rsidP="00B2496F">
      <w:pPr>
        <w:pStyle w:val="gPlaatjenr"/>
        <w:rPr>
          <w:rStyle w:val="gPlaatjetitelChar"/>
          <w:b w:val="0"/>
          <w:lang w:val="en-GB"/>
        </w:rPr>
      </w:pPr>
      <w:r w:rsidRPr="00B2496F">
        <w:lastRenderedPageBreak/>
        <w:t xml:space="preserve">Supplementary Figure 7: </w:t>
      </w:r>
      <w:r w:rsidRPr="00B2496F">
        <w:rPr>
          <w:rStyle w:val="gPlaatjetitelChar"/>
          <w:b w:val="0"/>
          <w:lang w:val="en-GB"/>
        </w:rPr>
        <w:t>Age- and</w:t>
      </w:r>
      <w:r w:rsidRPr="00B2496F">
        <w:rPr>
          <w:rStyle w:val="gPlaatjetitelChar"/>
          <w:lang w:val="en-GB"/>
        </w:rPr>
        <w:t xml:space="preserve"> </w:t>
      </w:r>
      <w:r w:rsidRPr="00B2496F">
        <w:rPr>
          <w:rStyle w:val="gPlaatjetitelChar"/>
          <w:b w:val="0"/>
          <w:lang w:val="en-GB"/>
        </w:rPr>
        <w:t>sex-specific distributions of fatal and non-fatal CVD risk in the four risk regions according to SCORE2-OP.</w:t>
      </w:r>
    </w:p>
    <w:p w:rsidR="00B2496F" w:rsidRPr="00B2496F" w:rsidRDefault="00B2496F" w:rsidP="00B2496F">
      <w:pPr>
        <w:pStyle w:val="dGewonetekst"/>
        <w:rPr>
          <w:rStyle w:val="gPlaatjetitelChar"/>
          <w:b/>
        </w:rPr>
      </w:pPr>
      <w:r w:rsidRPr="00B2496F">
        <w:rPr>
          <w:noProof/>
          <w:lang w:val="nl-NL" w:eastAsia="nl-NL"/>
        </w:rPr>
        <w:drawing>
          <wp:inline distT="0" distB="0" distL="0" distR="0" wp14:anchorId="7ACE12CF" wp14:editId="4EB492EC">
            <wp:extent cx="5943600" cy="3436775"/>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e 3.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436775"/>
                    </a:xfrm>
                    <a:prstGeom prst="rect">
                      <a:avLst/>
                    </a:prstGeom>
                  </pic:spPr>
                </pic:pic>
              </a:graphicData>
            </a:graphic>
          </wp:inline>
        </w:drawing>
      </w:r>
    </w:p>
    <w:p w:rsidR="00B2496F" w:rsidRPr="00B2496F" w:rsidRDefault="00B2496F" w:rsidP="00B2496F">
      <w:pPr>
        <w:pStyle w:val="dGewonetekst"/>
        <w:rPr>
          <w:rStyle w:val="gPlaatjetitelChar"/>
        </w:rPr>
      </w:pPr>
      <w:r w:rsidRPr="00B2496F">
        <w:rPr>
          <w:rStyle w:val="gPlaatjetitelChar"/>
        </w:rPr>
        <w:t xml:space="preserve">Age- and sex-specific risk distribution in the different risk regions, based on risk factor data in ARIC and MESA cohorts (n = 8,130). </w:t>
      </w:r>
    </w:p>
    <w:p w:rsidR="00B2496F" w:rsidRPr="00B2496F" w:rsidRDefault="00B2496F">
      <w:pPr>
        <w:spacing w:after="160" w:line="259" w:lineRule="auto"/>
        <w:rPr>
          <w:rStyle w:val="gPlaatjetitelChar"/>
          <w:sz w:val="20"/>
        </w:rPr>
      </w:pPr>
      <w:r w:rsidRPr="00B2496F">
        <w:rPr>
          <w:rStyle w:val="gPlaatjetitelChar"/>
        </w:rPr>
        <w:br w:type="page"/>
      </w:r>
    </w:p>
    <w:p w:rsidR="00B2496F" w:rsidRPr="00B2496F" w:rsidRDefault="00B2496F" w:rsidP="00B2496F">
      <w:pPr>
        <w:pStyle w:val="aParagraafkop"/>
        <w:rPr>
          <w:b w:val="0"/>
        </w:rPr>
      </w:pPr>
      <w:r w:rsidRPr="00B2496F">
        <w:lastRenderedPageBreak/>
        <w:t xml:space="preserve">Supplementary Figure 8: </w:t>
      </w:r>
      <w:r w:rsidRPr="00B2496F">
        <w:rPr>
          <w:b w:val="0"/>
        </w:rPr>
        <w:t>Risk charts of 5-year risk in all four risk regions</w:t>
      </w:r>
    </w:p>
    <w:p w:rsidR="00B2496F" w:rsidRPr="00B2496F" w:rsidRDefault="00355CD1">
      <w:pPr>
        <w:spacing w:after="160" w:line="259" w:lineRule="auto"/>
        <w:rPr>
          <w:b/>
        </w:rPr>
      </w:pPr>
      <w:r w:rsidRPr="00355CD1">
        <w:drawing>
          <wp:inline distT="0" distB="0" distL="0" distR="0">
            <wp:extent cx="5943600" cy="449667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496670"/>
                    </a:xfrm>
                    <a:prstGeom prst="rect">
                      <a:avLst/>
                    </a:prstGeom>
                    <a:noFill/>
                    <a:ln>
                      <a:noFill/>
                    </a:ln>
                  </pic:spPr>
                </pic:pic>
              </a:graphicData>
            </a:graphic>
          </wp:inline>
        </w:drawing>
      </w:r>
    </w:p>
    <w:p w:rsidR="00B2496F" w:rsidRPr="00B2496F" w:rsidRDefault="00B2496F" w:rsidP="00B2496F">
      <w:pPr>
        <w:pStyle w:val="dGewonetekst"/>
        <w:rPr>
          <w:i/>
        </w:rPr>
      </w:pPr>
    </w:p>
    <w:p w:rsidR="00B2496F" w:rsidRPr="00B2496F" w:rsidRDefault="00B2496F" w:rsidP="00B2496F">
      <w:pPr>
        <w:pStyle w:val="dGewonetekst"/>
        <w:rPr>
          <w:i/>
        </w:rPr>
      </w:pPr>
    </w:p>
    <w:p w:rsidR="00B2496F" w:rsidRPr="00B2496F" w:rsidRDefault="00B2496F" w:rsidP="00B2496F">
      <w:pPr>
        <w:pStyle w:val="dGewonetekst"/>
        <w:rPr>
          <w:i/>
        </w:rPr>
      </w:pPr>
    </w:p>
    <w:p w:rsidR="00B2496F" w:rsidRPr="00B2496F" w:rsidRDefault="00B2496F">
      <w:pPr>
        <w:spacing w:after="160" w:line="259" w:lineRule="auto"/>
        <w:rPr>
          <w:rFonts w:ascii="Arial" w:hAnsi="Arial" w:cs="Arial"/>
          <w:i/>
          <w:sz w:val="20"/>
        </w:rPr>
      </w:pPr>
      <w:r w:rsidRPr="00B2496F">
        <w:rPr>
          <w:i/>
        </w:rPr>
        <w:br w:type="page"/>
      </w:r>
    </w:p>
    <w:p w:rsidR="00B2496F" w:rsidRPr="00B2496F" w:rsidRDefault="00B2496F" w:rsidP="00B2496F">
      <w:pPr>
        <w:pStyle w:val="dGewonetekst"/>
        <w:rPr>
          <w:i/>
        </w:rPr>
      </w:pPr>
      <w:r w:rsidRPr="00B2496F">
        <w:rPr>
          <w:i/>
        </w:rPr>
        <w:lastRenderedPageBreak/>
        <w:t>(sFig 10 cont.)</w:t>
      </w:r>
    </w:p>
    <w:p w:rsidR="00B2496F" w:rsidRPr="00B2496F" w:rsidRDefault="00355CD1">
      <w:pPr>
        <w:spacing w:after="160" w:line="259" w:lineRule="auto"/>
        <w:rPr>
          <w:b/>
        </w:rPr>
      </w:pPr>
      <w:r w:rsidRPr="00355CD1">
        <w:drawing>
          <wp:inline distT="0" distB="0" distL="0" distR="0">
            <wp:extent cx="5943600" cy="4496670"/>
            <wp:effectExtent l="0" t="0" r="0" b="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496670"/>
                    </a:xfrm>
                    <a:prstGeom prst="rect">
                      <a:avLst/>
                    </a:prstGeom>
                    <a:noFill/>
                    <a:ln>
                      <a:noFill/>
                    </a:ln>
                  </pic:spPr>
                </pic:pic>
              </a:graphicData>
            </a:graphic>
          </wp:inline>
        </w:drawing>
      </w:r>
    </w:p>
    <w:p w:rsidR="00B2496F" w:rsidRPr="00B2496F" w:rsidRDefault="00B2496F">
      <w:pPr>
        <w:spacing w:after="160" w:line="259" w:lineRule="auto"/>
        <w:rPr>
          <w:b/>
        </w:rPr>
      </w:pPr>
      <w:r w:rsidRPr="00B2496F">
        <w:rPr>
          <w:b/>
        </w:rPr>
        <w:br w:type="page"/>
      </w:r>
    </w:p>
    <w:p w:rsidR="00B2496F" w:rsidRPr="00B2496F" w:rsidRDefault="00B2496F" w:rsidP="00B2496F">
      <w:pPr>
        <w:pStyle w:val="dGewonetekst"/>
        <w:rPr>
          <w:i/>
        </w:rPr>
      </w:pPr>
      <w:r w:rsidRPr="00B2496F">
        <w:rPr>
          <w:i/>
        </w:rPr>
        <w:lastRenderedPageBreak/>
        <w:t>(sFig 10 cont.)</w:t>
      </w:r>
    </w:p>
    <w:p w:rsidR="00B2496F" w:rsidRPr="00B2496F" w:rsidRDefault="00B2496F">
      <w:pPr>
        <w:spacing w:after="160" w:line="259" w:lineRule="auto"/>
        <w:rPr>
          <w:b/>
        </w:rPr>
      </w:pPr>
    </w:p>
    <w:p w:rsidR="00B2496F" w:rsidRPr="00B2496F" w:rsidRDefault="00355CD1">
      <w:pPr>
        <w:spacing w:after="160" w:line="259" w:lineRule="auto"/>
        <w:rPr>
          <w:rFonts w:ascii="Arial" w:hAnsi="Arial" w:cs="Arial"/>
          <w:i/>
          <w:sz w:val="20"/>
        </w:rPr>
      </w:pPr>
      <w:r w:rsidRPr="00355CD1">
        <w:drawing>
          <wp:inline distT="0" distB="0" distL="0" distR="0">
            <wp:extent cx="5943600" cy="4496670"/>
            <wp:effectExtent l="0" t="0" r="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496670"/>
                    </a:xfrm>
                    <a:prstGeom prst="rect">
                      <a:avLst/>
                    </a:prstGeom>
                    <a:noFill/>
                    <a:ln>
                      <a:noFill/>
                    </a:ln>
                  </pic:spPr>
                </pic:pic>
              </a:graphicData>
            </a:graphic>
          </wp:inline>
        </w:drawing>
      </w:r>
      <w:r w:rsidR="00B2496F" w:rsidRPr="00B2496F">
        <w:rPr>
          <w:i/>
        </w:rPr>
        <w:br w:type="page"/>
      </w:r>
    </w:p>
    <w:p w:rsidR="00B2496F" w:rsidRPr="00B2496F" w:rsidRDefault="00B2496F" w:rsidP="00B2496F">
      <w:pPr>
        <w:pStyle w:val="dGewonetekst"/>
        <w:rPr>
          <w:i/>
        </w:rPr>
      </w:pPr>
      <w:r w:rsidRPr="00B2496F">
        <w:rPr>
          <w:i/>
        </w:rPr>
        <w:lastRenderedPageBreak/>
        <w:t>(sFig 10 cont.)</w:t>
      </w:r>
    </w:p>
    <w:p w:rsidR="00B2496F" w:rsidRPr="00B2496F" w:rsidRDefault="00355CD1">
      <w:pPr>
        <w:spacing w:after="160" w:line="259" w:lineRule="auto"/>
        <w:rPr>
          <w:rFonts w:ascii="Arial" w:eastAsiaTheme="majorEastAsia" w:hAnsi="Arial" w:cs="Arial"/>
          <w:sz w:val="20"/>
          <w:szCs w:val="20"/>
        </w:rPr>
      </w:pPr>
      <w:r w:rsidRPr="00355CD1">
        <w:drawing>
          <wp:inline distT="0" distB="0" distL="0" distR="0">
            <wp:extent cx="5943600" cy="4496670"/>
            <wp:effectExtent l="0" t="0" r="0"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496670"/>
                    </a:xfrm>
                    <a:prstGeom prst="rect">
                      <a:avLst/>
                    </a:prstGeom>
                    <a:noFill/>
                    <a:ln>
                      <a:noFill/>
                    </a:ln>
                  </pic:spPr>
                </pic:pic>
              </a:graphicData>
            </a:graphic>
          </wp:inline>
        </w:drawing>
      </w:r>
      <w:r w:rsidR="00B2496F" w:rsidRPr="00B2496F">
        <w:rPr>
          <w:b/>
        </w:rPr>
        <w:br w:type="page"/>
      </w:r>
    </w:p>
    <w:p w:rsidR="00737E15" w:rsidRPr="00B2496F" w:rsidRDefault="00737E15" w:rsidP="00B2496F">
      <w:pPr>
        <w:pStyle w:val="aParagraafkop"/>
        <w:rPr>
          <w:b w:val="0"/>
        </w:rPr>
      </w:pPr>
      <w:r w:rsidRPr="00B2496F">
        <w:lastRenderedPageBreak/>
        <w:t xml:space="preserve">Supplementary Figure </w:t>
      </w:r>
      <w:r w:rsidR="00B2496F" w:rsidRPr="00B2496F">
        <w:t>9</w:t>
      </w:r>
      <w:r w:rsidRPr="00B2496F">
        <w:t xml:space="preserve">: </w:t>
      </w:r>
      <w:r w:rsidR="00C5364F" w:rsidRPr="00B2496F">
        <w:rPr>
          <w:b w:val="0"/>
        </w:rPr>
        <w:t>SCORE2-OP</w:t>
      </w:r>
      <w:r w:rsidRPr="00B2496F">
        <w:rPr>
          <w:b w:val="0"/>
        </w:rPr>
        <w:t xml:space="preserve"> predicted risks for given risk factors in all European regions</w:t>
      </w:r>
    </w:p>
    <w:p w:rsidR="00737E15" w:rsidRPr="00B2496F" w:rsidRDefault="00737E15" w:rsidP="00737E15">
      <w:pPr>
        <w:pStyle w:val="Geenafstand"/>
        <w:jc w:val="both"/>
        <w:rPr>
          <w:rFonts w:ascii="Arial" w:hAnsi="Arial" w:cs="Arial"/>
          <w:b/>
          <w:sz w:val="20"/>
          <w:lang w:val="en-US"/>
        </w:rPr>
      </w:pPr>
      <w:r w:rsidRPr="00B2496F">
        <w:rPr>
          <w:rFonts w:ascii="Arial" w:hAnsi="Arial" w:cs="Arial"/>
          <w:b/>
          <w:noProof/>
          <w:sz w:val="20"/>
          <w:lang w:eastAsia="nl-NL"/>
        </w:rPr>
        <w:drawing>
          <wp:inline distT="0" distB="0" distL="0" distR="0" wp14:anchorId="66646286" wp14:editId="34248D77">
            <wp:extent cx="5940000" cy="5940000"/>
            <wp:effectExtent l="0" t="0" r="3810" b="381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Fig risk profiles per region 20201112.jpe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0000" cy="5940000"/>
                    </a:xfrm>
                    <a:prstGeom prst="rect">
                      <a:avLst/>
                    </a:prstGeom>
                  </pic:spPr>
                </pic:pic>
              </a:graphicData>
            </a:graphic>
          </wp:inline>
        </w:drawing>
      </w:r>
    </w:p>
    <w:p w:rsidR="00737E15" w:rsidRPr="00B2496F" w:rsidRDefault="00737E15" w:rsidP="00225592">
      <w:pPr>
        <w:pStyle w:val="dGewonetekst"/>
      </w:pPr>
    </w:p>
    <w:p w:rsidR="00A20967" w:rsidRPr="00B2496F" w:rsidRDefault="00737E15" w:rsidP="00225592">
      <w:pPr>
        <w:pStyle w:val="dGewonetekst"/>
      </w:pPr>
      <w:r w:rsidRPr="00B2496F">
        <w:t>Predicted risks in all European regions for different risk profiles. Predictions for individuals with a non-HDL cholesterol of 4.5 mmol/l, and systolic blood pressure of 150mmHg</w:t>
      </w:r>
      <w:r w:rsidR="00E64F4F" w:rsidRPr="00B2496F">
        <w:t>, assuming no diabetes mellitus.</w:t>
      </w:r>
    </w:p>
    <w:p w:rsidR="00A20967" w:rsidRPr="00B2496F" w:rsidRDefault="00A20967">
      <w:pPr>
        <w:spacing w:after="160" w:line="259" w:lineRule="auto"/>
        <w:rPr>
          <w:rFonts w:ascii="Arial" w:hAnsi="Arial" w:cs="Arial"/>
          <w:sz w:val="20"/>
        </w:rPr>
      </w:pPr>
      <w:r w:rsidRPr="00B2496F">
        <w:br w:type="page"/>
      </w:r>
    </w:p>
    <w:p w:rsidR="00A06952" w:rsidRPr="00B2496F" w:rsidRDefault="00A06952" w:rsidP="00A06952">
      <w:pPr>
        <w:pStyle w:val="aParagraafkop"/>
        <w:rPr>
          <w:b w:val="0"/>
        </w:rPr>
      </w:pPr>
      <w:r w:rsidRPr="00B2496F">
        <w:lastRenderedPageBreak/>
        <w:t xml:space="preserve">Supplementary Figure </w:t>
      </w:r>
      <w:r w:rsidR="00B2496F" w:rsidRPr="00B2496F">
        <w:t>10</w:t>
      </w:r>
      <w:r w:rsidRPr="00B2496F">
        <w:t xml:space="preserve">: </w:t>
      </w:r>
      <w:r w:rsidRPr="00B2496F">
        <w:rPr>
          <w:b w:val="0"/>
        </w:rPr>
        <w:t>Risk charts of 10-year risk in all four risk regions with uncertainty bounds based on the 95% CI of the risk model parameters</w:t>
      </w:r>
    </w:p>
    <w:p w:rsidR="00A06952" w:rsidRPr="00B2496F" w:rsidRDefault="00A06952" w:rsidP="00A06952">
      <w:pPr>
        <w:pStyle w:val="dGewonetekst"/>
      </w:pPr>
    </w:p>
    <w:p w:rsidR="00A06952" w:rsidRPr="00B2496F" w:rsidRDefault="00355CD1" w:rsidP="00A06952">
      <w:pPr>
        <w:pStyle w:val="dGewonetekst"/>
        <w:rPr>
          <w:rFonts w:eastAsiaTheme="majorEastAsia"/>
          <w:b/>
          <w:szCs w:val="20"/>
        </w:rPr>
      </w:pPr>
      <w:r w:rsidRPr="00355CD1">
        <w:drawing>
          <wp:inline distT="0" distB="0" distL="0" distR="0">
            <wp:extent cx="5943600" cy="7062200"/>
            <wp:effectExtent l="0" t="0" r="0" b="571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7062200"/>
                    </a:xfrm>
                    <a:prstGeom prst="rect">
                      <a:avLst/>
                    </a:prstGeom>
                    <a:noFill/>
                    <a:ln>
                      <a:noFill/>
                    </a:ln>
                  </pic:spPr>
                </pic:pic>
              </a:graphicData>
            </a:graphic>
          </wp:inline>
        </w:drawing>
      </w:r>
      <w:bookmarkStart w:id="0" w:name="_GoBack"/>
      <w:bookmarkEnd w:id="0"/>
      <w:r w:rsidR="00A06952" w:rsidRPr="00B2496F">
        <w:br w:type="page"/>
      </w:r>
    </w:p>
    <w:p w:rsidR="00A06952" w:rsidRPr="00B2496F" w:rsidRDefault="00A06952" w:rsidP="00A06952">
      <w:pPr>
        <w:pStyle w:val="dGewonetekst"/>
        <w:rPr>
          <w:i/>
        </w:rPr>
      </w:pPr>
      <w:r w:rsidRPr="00B2496F">
        <w:rPr>
          <w:i/>
        </w:rPr>
        <w:lastRenderedPageBreak/>
        <w:t xml:space="preserve">(sFig </w:t>
      </w:r>
      <w:r w:rsidR="00B2496F" w:rsidRPr="00B2496F">
        <w:rPr>
          <w:i/>
        </w:rPr>
        <w:t>10</w:t>
      </w:r>
      <w:r w:rsidR="00830590" w:rsidRPr="00B2496F">
        <w:rPr>
          <w:i/>
        </w:rPr>
        <w:t xml:space="preserve"> </w:t>
      </w:r>
      <w:r w:rsidRPr="00B2496F">
        <w:rPr>
          <w:i/>
        </w:rPr>
        <w:t>cont.)</w:t>
      </w:r>
    </w:p>
    <w:p w:rsidR="00A06952" w:rsidRPr="00B2496F" w:rsidRDefault="00355CD1">
      <w:pPr>
        <w:spacing w:after="160" w:line="259" w:lineRule="auto"/>
      </w:pPr>
      <w:r w:rsidRPr="00355CD1">
        <w:drawing>
          <wp:inline distT="0" distB="0" distL="0" distR="0">
            <wp:extent cx="5943600" cy="7062200"/>
            <wp:effectExtent l="0" t="0" r="0" b="571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7062200"/>
                    </a:xfrm>
                    <a:prstGeom prst="rect">
                      <a:avLst/>
                    </a:prstGeom>
                    <a:noFill/>
                    <a:ln>
                      <a:noFill/>
                    </a:ln>
                  </pic:spPr>
                </pic:pic>
              </a:graphicData>
            </a:graphic>
          </wp:inline>
        </w:drawing>
      </w:r>
    </w:p>
    <w:p w:rsidR="00A06952" w:rsidRPr="00B2496F" w:rsidRDefault="00A06952">
      <w:pPr>
        <w:spacing w:after="160" w:line="259" w:lineRule="auto"/>
      </w:pPr>
      <w:r w:rsidRPr="00B2496F">
        <w:br w:type="page"/>
      </w:r>
    </w:p>
    <w:p w:rsidR="00B2496F" w:rsidRPr="00B2496F" w:rsidRDefault="00B2496F" w:rsidP="00B2496F">
      <w:pPr>
        <w:pStyle w:val="dGewonetekst"/>
        <w:rPr>
          <w:i/>
        </w:rPr>
      </w:pPr>
      <w:r w:rsidRPr="00B2496F">
        <w:rPr>
          <w:i/>
        </w:rPr>
        <w:lastRenderedPageBreak/>
        <w:t>(sFig 10 cont.)</w:t>
      </w:r>
    </w:p>
    <w:p w:rsidR="00A06952" w:rsidRPr="00B2496F" w:rsidRDefault="00355CD1">
      <w:pPr>
        <w:spacing w:after="160" w:line="259" w:lineRule="auto"/>
      </w:pPr>
      <w:r w:rsidRPr="00355CD1">
        <w:drawing>
          <wp:inline distT="0" distB="0" distL="0" distR="0">
            <wp:extent cx="5943600" cy="7062200"/>
            <wp:effectExtent l="0" t="0" r="0" b="571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7062200"/>
                    </a:xfrm>
                    <a:prstGeom prst="rect">
                      <a:avLst/>
                    </a:prstGeom>
                    <a:noFill/>
                    <a:ln>
                      <a:noFill/>
                    </a:ln>
                  </pic:spPr>
                </pic:pic>
              </a:graphicData>
            </a:graphic>
          </wp:inline>
        </w:drawing>
      </w:r>
    </w:p>
    <w:p w:rsidR="00A06952" w:rsidRPr="00B2496F" w:rsidRDefault="00A06952">
      <w:pPr>
        <w:spacing w:after="160" w:line="259" w:lineRule="auto"/>
      </w:pPr>
      <w:r w:rsidRPr="00B2496F">
        <w:br w:type="page"/>
      </w:r>
    </w:p>
    <w:p w:rsidR="00B2496F" w:rsidRPr="00B2496F" w:rsidRDefault="00B2496F" w:rsidP="00B2496F">
      <w:pPr>
        <w:pStyle w:val="dGewonetekst"/>
        <w:rPr>
          <w:i/>
        </w:rPr>
      </w:pPr>
      <w:r w:rsidRPr="00B2496F">
        <w:rPr>
          <w:i/>
        </w:rPr>
        <w:lastRenderedPageBreak/>
        <w:t>(sFig 10 cont.)</w:t>
      </w:r>
    </w:p>
    <w:p w:rsidR="00AF7164" w:rsidRPr="00B2496F" w:rsidRDefault="00355CD1" w:rsidP="006E5D95">
      <w:pPr>
        <w:spacing w:after="160" w:line="259" w:lineRule="auto"/>
      </w:pPr>
      <w:r w:rsidRPr="00355CD1">
        <w:drawing>
          <wp:inline distT="0" distB="0" distL="0" distR="0">
            <wp:extent cx="5943600" cy="7062200"/>
            <wp:effectExtent l="0" t="0" r="0" b="571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7062200"/>
                    </a:xfrm>
                    <a:prstGeom prst="rect">
                      <a:avLst/>
                    </a:prstGeom>
                    <a:noFill/>
                    <a:ln>
                      <a:noFill/>
                    </a:ln>
                  </pic:spPr>
                </pic:pic>
              </a:graphicData>
            </a:graphic>
          </wp:inline>
        </w:drawing>
      </w:r>
    </w:p>
    <w:p w:rsidR="00AF7164" w:rsidRPr="00B2496F" w:rsidRDefault="00AF7164">
      <w:pPr>
        <w:spacing w:after="160" w:line="259" w:lineRule="auto"/>
      </w:pPr>
      <w:r w:rsidRPr="00B2496F">
        <w:br w:type="page"/>
      </w:r>
    </w:p>
    <w:p w:rsidR="00A20967" w:rsidRPr="00B2496F" w:rsidRDefault="00A20967" w:rsidP="006E5D95">
      <w:pPr>
        <w:spacing w:after="160" w:line="259" w:lineRule="auto"/>
        <w:rPr>
          <w:rFonts w:ascii="Arial" w:eastAsiaTheme="majorEastAsia" w:hAnsi="Arial" w:cs="Arial"/>
          <w:b/>
          <w:sz w:val="20"/>
          <w:szCs w:val="20"/>
        </w:rPr>
      </w:pPr>
    </w:p>
    <w:p w:rsidR="008D6406" w:rsidRPr="00B2496F" w:rsidRDefault="00830590" w:rsidP="001401F8">
      <w:pPr>
        <w:pStyle w:val="aParagraafkop"/>
      </w:pPr>
      <w:r w:rsidRPr="00B2496F">
        <w:t>R</w:t>
      </w:r>
      <w:r w:rsidR="00C26AF6" w:rsidRPr="00B2496F">
        <w:t>eferences used in supplementary material</w:t>
      </w:r>
    </w:p>
    <w:p w:rsidR="00365CB9" w:rsidRPr="00B2496F" w:rsidRDefault="00C26AF6"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sz w:val="18"/>
        </w:rPr>
        <w:fldChar w:fldCharType="begin" w:fldLock="1"/>
      </w:r>
      <w:r w:rsidRPr="00B2496F">
        <w:rPr>
          <w:rFonts w:ascii="Arial" w:hAnsi="Arial" w:cs="Arial"/>
          <w:sz w:val="18"/>
        </w:rPr>
        <w:instrText xml:space="preserve">ADDIN Mendeley Bibliography CSL_BIBLIOGRAPHY </w:instrText>
      </w:r>
      <w:r w:rsidRPr="00B2496F">
        <w:rPr>
          <w:rFonts w:ascii="Arial" w:hAnsi="Arial" w:cs="Arial"/>
          <w:sz w:val="18"/>
        </w:rPr>
        <w:fldChar w:fldCharType="separate"/>
      </w:r>
      <w:r w:rsidR="00365CB9" w:rsidRPr="00B2496F">
        <w:rPr>
          <w:rFonts w:ascii="Arial" w:hAnsi="Arial" w:cs="Arial"/>
          <w:noProof/>
          <w:sz w:val="18"/>
          <w:szCs w:val="24"/>
        </w:rPr>
        <w:t xml:space="preserve">1. </w:t>
      </w:r>
      <w:r w:rsidR="00365CB9" w:rsidRPr="00B2496F">
        <w:rPr>
          <w:rFonts w:ascii="Arial" w:hAnsi="Arial" w:cs="Arial"/>
          <w:noProof/>
          <w:sz w:val="18"/>
          <w:szCs w:val="24"/>
        </w:rPr>
        <w:tab/>
        <w:t xml:space="preserve">Naess O, Søgaard AJ, Arnesen E, Beckstrøm AC, Bjertness E, Engeland A, Hjort PF, Holmen J, Magnus P, Njølstad I, Tell GS, Vatten L, Vollset SE, Aamodt G. Cohort profile: cohort of Norway (CONOR). </w:t>
      </w:r>
      <w:r w:rsidR="00365CB9" w:rsidRPr="00B2496F">
        <w:rPr>
          <w:rFonts w:ascii="Arial" w:hAnsi="Arial" w:cs="Arial"/>
          <w:i/>
          <w:iCs/>
          <w:noProof/>
          <w:sz w:val="18"/>
          <w:szCs w:val="24"/>
        </w:rPr>
        <w:t>Int J Epidemiol</w:t>
      </w:r>
      <w:r w:rsidR="00365CB9" w:rsidRPr="00B2496F">
        <w:rPr>
          <w:rFonts w:ascii="Arial" w:hAnsi="Arial" w:cs="Arial"/>
          <w:noProof/>
          <w:sz w:val="18"/>
          <w:szCs w:val="24"/>
        </w:rPr>
        <w:t xml:space="preserve"> 2008;</w:t>
      </w:r>
      <w:r w:rsidR="00365CB9" w:rsidRPr="00B2496F">
        <w:rPr>
          <w:rFonts w:ascii="Arial" w:hAnsi="Arial" w:cs="Arial"/>
          <w:b/>
          <w:bCs/>
          <w:noProof/>
          <w:sz w:val="18"/>
          <w:szCs w:val="24"/>
        </w:rPr>
        <w:t>37</w:t>
      </w:r>
      <w:r w:rsidR="00365CB9" w:rsidRPr="00B2496F">
        <w:rPr>
          <w:rFonts w:ascii="Arial" w:hAnsi="Arial" w:cs="Arial"/>
          <w:noProof/>
          <w:sz w:val="18"/>
          <w:szCs w:val="24"/>
        </w:rPr>
        <w:t xml:space="preserve">:481–485.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 </w:t>
      </w:r>
      <w:r w:rsidRPr="00B2496F">
        <w:rPr>
          <w:rFonts w:ascii="Arial" w:hAnsi="Arial" w:cs="Arial"/>
          <w:noProof/>
          <w:sz w:val="18"/>
          <w:szCs w:val="24"/>
        </w:rPr>
        <w:tab/>
        <w:t xml:space="preserve">Igland J, Tell G, Ebbing M, Nygard O, Vollset SE, Dimoski T. CVDNOR data and quality report: the CVDNOR project: cardiovascular disease in Norway 1994–2009. Description of data and data quality. Norway: University of Bergen; 2013.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3. </w:t>
      </w:r>
      <w:r w:rsidRPr="00B2496F">
        <w:rPr>
          <w:rFonts w:ascii="Arial" w:hAnsi="Arial" w:cs="Arial"/>
          <w:noProof/>
          <w:sz w:val="18"/>
          <w:szCs w:val="24"/>
        </w:rPr>
        <w:tab/>
        <w:t xml:space="preserve">Sulo G, Igland J, Vollset SE, Nygard O, Øyen N, Tell G. Cardiovascular disease and diabetes mellitus in Norway during 1994–2009: CVDNOR – a nationwide research project. </w:t>
      </w:r>
      <w:r w:rsidRPr="00B2496F">
        <w:rPr>
          <w:rFonts w:ascii="Arial" w:hAnsi="Arial" w:cs="Arial"/>
          <w:i/>
          <w:iCs/>
          <w:noProof/>
          <w:sz w:val="18"/>
          <w:szCs w:val="24"/>
        </w:rPr>
        <w:t>Nor J Epidemiol</w:t>
      </w:r>
      <w:r w:rsidRPr="00B2496F">
        <w:rPr>
          <w:rFonts w:ascii="Arial" w:hAnsi="Arial" w:cs="Arial"/>
          <w:noProof/>
          <w:sz w:val="18"/>
          <w:szCs w:val="24"/>
        </w:rPr>
        <w:t xml:space="preserve"> 2013;</w:t>
      </w:r>
      <w:r w:rsidRPr="00B2496F">
        <w:rPr>
          <w:rFonts w:ascii="Arial" w:hAnsi="Arial" w:cs="Arial"/>
          <w:b/>
          <w:bCs/>
          <w:noProof/>
          <w:sz w:val="18"/>
          <w:szCs w:val="24"/>
        </w:rPr>
        <w:t>23</w:t>
      </w:r>
      <w:r w:rsidRPr="00B2496F">
        <w:rPr>
          <w:rFonts w:ascii="Arial" w:hAnsi="Arial" w:cs="Arial"/>
          <w:noProof/>
          <w:sz w:val="18"/>
          <w:szCs w:val="24"/>
        </w:rPr>
        <w:t xml:space="preserve">.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4. </w:t>
      </w:r>
      <w:r w:rsidRPr="00B2496F">
        <w:rPr>
          <w:rFonts w:ascii="Arial" w:hAnsi="Arial" w:cs="Arial"/>
          <w:noProof/>
          <w:sz w:val="18"/>
          <w:szCs w:val="24"/>
        </w:rPr>
        <w:tab/>
        <w:t xml:space="preserve">Govatsmark RES, Janszky I, Slørdahl SA, Ebbing M, Wiseth R, Grenne B, Vesterbekkmo E, Bønaa KH. Completeness and correctness of acute myocardial infarction diagnoses in a medical quality register and an administrative health register. </w:t>
      </w:r>
      <w:r w:rsidRPr="00B2496F">
        <w:rPr>
          <w:rFonts w:ascii="Arial" w:hAnsi="Arial" w:cs="Arial"/>
          <w:i/>
          <w:iCs/>
          <w:noProof/>
          <w:sz w:val="18"/>
          <w:szCs w:val="24"/>
        </w:rPr>
        <w:t>Scand J Public Health</w:t>
      </w:r>
      <w:r w:rsidRPr="00B2496F">
        <w:rPr>
          <w:rFonts w:ascii="Arial" w:hAnsi="Arial" w:cs="Arial"/>
          <w:noProof/>
          <w:sz w:val="18"/>
          <w:szCs w:val="24"/>
        </w:rPr>
        <w:t xml:space="preserve"> 2020;</w:t>
      </w:r>
      <w:r w:rsidRPr="00B2496F">
        <w:rPr>
          <w:rFonts w:ascii="Arial" w:hAnsi="Arial" w:cs="Arial"/>
          <w:b/>
          <w:bCs/>
          <w:noProof/>
          <w:sz w:val="18"/>
          <w:szCs w:val="24"/>
        </w:rPr>
        <w:t>48</w:t>
      </w:r>
      <w:r w:rsidRPr="00B2496F">
        <w:rPr>
          <w:rFonts w:ascii="Arial" w:hAnsi="Arial" w:cs="Arial"/>
          <w:noProof/>
          <w:sz w:val="18"/>
          <w:szCs w:val="24"/>
        </w:rPr>
        <w:t xml:space="preserve">:5–13.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5. </w:t>
      </w:r>
      <w:r w:rsidRPr="00B2496F">
        <w:rPr>
          <w:rFonts w:ascii="Arial" w:hAnsi="Arial" w:cs="Arial"/>
          <w:noProof/>
          <w:sz w:val="18"/>
          <w:szCs w:val="24"/>
        </w:rPr>
        <w:tab/>
        <w:t xml:space="preserve">Øie LR, Madsbu MA, Giannadakis C, Vorhaug A, Jensberg H, Salvesen Ø, Gulati S. Validation of intracranial hemorrhage in the Norwegian Patient Registry. </w:t>
      </w:r>
      <w:r w:rsidRPr="00B2496F">
        <w:rPr>
          <w:rFonts w:ascii="Arial" w:hAnsi="Arial" w:cs="Arial"/>
          <w:i/>
          <w:iCs/>
          <w:noProof/>
          <w:sz w:val="18"/>
          <w:szCs w:val="24"/>
        </w:rPr>
        <w:t>Brain Behav</w:t>
      </w:r>
      <w:r w:rsidRPr="00B2496F">
        <w:rPr>
          <w:rFonts w:ascii="Arial" w:hAnsi="Arial" w:cs="Arial"/>
          <w:noProof/>
          <w:sz w:val="18"/>
          <w:szCs w:val="24"/>
        </w:rPr>
        <w:t xml:space="preserve"> 2018;</w:t>
      </w:r>
      <w:r w:rsidRPr="00B2496F">
        <w:rPr>
          <w:rFonts w:ascii="Arial" w:hAnsi="Arial" w:cs="Arial"/>
          <w:b/>
          <w:bCs/>
          <w:noProof/>
          <w:sz w:val="18"/>
          <w:szCs w:val="24"/>
        </w:rPr>
        <w:t>8</w:t>
      </w:r>
      <w:r w:rsidRPr="00B2496F">
        <w:rPr>
          <w:rFonts w:ascii="Arial" w:hAnsi="Arial" w:cs="Arial"/>
          <w:noProof/>
          <w:sz w:val="18"/>
          <w:szCs w:val="24"/>
        </w:rPr>
        <w:t xml:space="preserve">:e00900.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6. </w:t>
      </w:r>
      <w:r w:rsidRPr="00B2496F">
        <w:rPr>
          <w:rFonts w:ascii="Arial" w:hAnsi="Arial" w:cs="Arial"/>
          <w:noProof/>
          <w:sz w:val="18"/>
          <w:szCs w:val="24"/>
        </w:rPr>
        <w:tab/>
        <w:t xml:space="preserve">Selmer R, Igland J, Ariansen I, Tverdal A, Njølstad I, Furu K, Tell GS, Klemsdal TO. NORRISK 2: A Norwegian risk model for acute cerebral stroke and myocardial infarction. </w:t>
      </w:r>
      <w:r w:rsidRPr="00B2496F">
        <w:rPr>
          <w:rFonts w:ascii="Arial" w:hAnsi="Arial" w:cs="Arial"/>
          <w:i/>
          <w:iCs/>
          <w:noProof/>
          <w:sz w:val="18"/>
          <w:szCs w:val="24"/>
        </w:rPr>
        <w:t>Eur J Prev Cardiol</w:t>
      </w:r>
      <w:r w:rsidRPr="00B2496F">
        <w:rPr>
          <w:rFonts w:ascii="Arial" w:hAnsi="Arial" w:cs="Arial"/>
          <w:noProof/>
          <w:sz w:val="18"/>
          <w:szCs w:val="24"/>
        </w:rPr>
        <w:t xml:space="preserve"> 2017;</w:t>
      </w:r>
      <w:r w:rsidRPr="00B2496F">
        <w:rPr>
          <w:rFonts w:ascii="Arial" w:hAnsi="Arial" w:cs="Arial"/>
          <w:b/>
          <w:bCs/>
          <w:noProof/>
          <w:sz w:val="18"/>
          <w:szCs w:val="24"/>
        </w:rPr>
        <w:t>24</w:t>
      </w:r>
      <w:r w:rsidRPr="00B2496F">
        <w:rPr>
          <w:rFonts w:ascii="Arial" w:hAnsi="Arial" w:cs="Arial"/>
          <w:noProof/>
          <w:sz w:val="18"/>
          <w:szCs w:val="24"/>
        </w:rPr>
        <w:t xml:space="preserve">:773–782.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7. </w:t>
      </w:r>
      <w:r w:rsidRPr="00B2496F">
        <w:rPr>
          <w:rFonts w:ascii="Arial" w:hAnsi="Arial" w:cs="Arial"/>
          <w:noProof/>
          <w:sz w:val="18"/>
          <w:szCs w:val="24"/>
        </w:rPr>
        <w:tab/>
        <w:t xml:space="preserve">Cooney MT, Selmer R, Lindman A, Tverdal A, Menotti A, Thomsen T, DeBacker G, Bacquer D De, Tell GS, Njolstad I, Graham IM. Cardiovascular risk estimation in older persons: SCORE O.P. </w:t>
      </w:r>
      <w:r w:rsidRPr="00B2496F">
        <w:rPr>
          <w:rFonts w:ascii="Arial" w:hAnsi="Arial" w:cs="Arial"/>
          <w:i/>
          <w:iCs/>
          <w:noProof/>
          <w:sz w:val="18"/>
          <w:szCs w:val="24"/>
        </w:rPr>
        <w:t>Eur J Prev Cardiol</w:t>
      </w:r>
      <w:r w:rsidRPr="00B2496F">
        <w:rPr>
          <w:rFonts w:ascii="Arial" w:hAnsi="Arial" w:cs="Arial"/>
          <w:noProof/>
          <w:sz w:val="18"/>
          <w:szCs w:val="24"/>
        </w:rPr>
        <w:t xml:space="preserve"> 2016;</w:t>
      </w:r>
      <w:r w:rsidRPr="00B2496F">
        <w:rPr>
          <w:rFonts w:ascii="Arial" w:hAnsi="Arial" w:cs="Arial"/>
          <w:b/>
          <w:bCs/>
          <w:noProof/>
          <w:sz w:val="18"/>
          <w:szCs w:val="24"/>
        </w:rPr>
        <w:t>23</w:t>
      </w:r>
      <w:r w:rsidRPr="00B2496F">
        <w:rPr>
          <w:rFonts w:ascii="Arial" w:hAnsi="Arial" w:cs="Arial"/>
          <w:noProof/>
          <w:sz w:val="18"/>
          <w:szCs w:val="24"/>
        </w:rPr>
        <w:t xml:space="preserve">:1093–1103.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8. </w:t>
      </w:r>
      <w:r w:rsidRPr="00B2496F">
        <w:rPr>
          <w:rFonts w:ascii="Arial" w:hAnsi="Arial" w:cs="Arial"/>
          <w:noProof/>
          <w:sz w:val="18"/>
          <w:szCs w:val="24"/>
        </w:rPr>
        <w:tab/>
        <w:t xml:space="preserve">The ARIC investigators. The Atherosclerosis Risk in Communities (ARIC) Study: design and objectives. </w:t>
      </w:r>
      <w:r w:rsidRPr="00B2496F">
        <w:rPr>
          <w:rFonts w:ascii="Arial" w:hAnsi="Arial" w:cs="Arial"/>
          <w:i/>
          <w:iCs/>
          <w:noProof/>
          <w:sz w:val="18"/>
          <w:szCs w:val="24"/>
        </w:rPr>
        <w:t>Am J Epidemiol</w:t>
      </w:r>
      <w:r w:rsidRPr="00B2496F">
        <w:rPr>
          <w:rFonts w:ascii="Arial" w:hAnsi="Arial" w:cs="Arial"/>
          <w:noProof/>
          <w:sz w:val="18"/>
          <w:szCs w:val="24"/>
        </w:rPr>
        <w:t xml:space="preserve"> 1989;</w:t>
      </w:r>
      <w:r w:rsidRPr="00B2496F">
        <w:rPr>
          <w:rFonts w:ascii="Arial" w:hAnsi="Arial" w:cs="Arial"/>
          <w:b/>
          <w:bCs/>
          <w:noProof/>
          <w:sz w:val="18"/>
          <w:szCs w:val="24"/>
        </w:rPr>
        <w:t>129</w:t>
      </w:r>
      <w:r w:rsidRPr="00B2496F">
        <w:rPr>
          <w:rFonts w:ascii="Arial" w:hAnsi="Arial" w:cs="Arial"/>
          <w:noProof/>
          <w:sz w:val="18"/>
          <w:szCs w:val="24"/>
        </w:rPr>
        <w:t xml:space="preserve">:687–702.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9. </w:t>
      </w:r>
      <w:r w:rsidRPr="00B2496F">
        <w:rPr>
          <w:rFonts w:ascii="Arial" w:hAnsi="Arial" w:cs="Arial"/>
          <w:noProof/>
          <w:sz w:val="18"/>
          <w:szCs w:val="24"/>
        </w:rPr>
        <w:tab/>
        <w:t xml:space="preserve">Herrett E, Gallagher AM, Bhaskaran K, Forbes H, Mathur R, Staa T van, Smeeth L. Data Resource Profile: Clinical Practice Research Datalink (CPRD). </w:t>
      </w:r>
      <w:r w:rsidRPr="00B2496F">
        <w:rPr>
          <w:rFonts w:ascii="Arial" w:hAnsi="Arial" w:cs="Arial"/>
          <w:i/>
          <w:iCs/>
          <w:noProof/>
          <w:sz w:val="18"/>
          <w:szCs w:val="24"/>
        </w:rPr>
        <w:t>Int J Epidemiol</w:t>
      </w:r>
      <w:r w:rsidRPr="00B2496F">
        <w:rPr>
          <w:rFonts w:ascii="Arial" w:hAnsi="Arial" w:cs="Arial"/>
          <w:noProof/>
          <w:sz w:val="18"/>
          <w:szCs w:val="24"/>
        </w:rPr>
        <w:t xml:space="preserve"> 2015;</w:t>
      </w:r>
      <w:r w:rsidRPr="00B2496F">
        <w:rPr>
          <w:rFonts w:ascii="Arial" w:hAnsi="Arial" w:cs="Arial"/>
          <w:b/>
          <w:bCs/>
          <w:noProof/>
          <w:sz w:val="18"/>
          <w:szCs w:val="24"/>
        </w:rPr>
        <w:t>44</w:t>
      </w:r>
      <w:r w:rsidRPr="00B2496F">
        <w:rPr>
          <w:rFonts w:ascii="Arial" w:hAnsi="Arial" w:cs="Arial"/>
          <w:noProof/>
          <w:sz w:val="18"/>
          <w:szCs w:val="24"/>
        </w:rPr>
        <w:t xml:space="preserve">:827–836.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10. </w:t>
      </w:r>
      <w:r w:rsidRPr="00B2496F">
        <w:rPr>
          <w:rFonts w:ascii="Arial" w:hAnsi="Arial" w:cs="Arial"/>
          <w:noProof/>
          <w:sz w:val="18"/>
          <w:szCs w:val="24"/>
        </w:rPr>
        <w:tab/>
        <w:t xml:space="preserve">Bulpitt C, Fletcher A, Beckett N, Coope J, Gil-Extremera B, Forette F, Nachev C, Potter J, Sever P, Staessen J, Swift C, Tuomilehto J. Hypertension in the Very Elderly Trial (HYVET): protocol for the main trial. </w:t>
      </w:r>
      <w:r w:rsidRPr="00B2496F">
        <w:rPr>
          <w:rFonts w:ascii="Arial" w:hAnsi="Arial" w:cs="Arial"/>
          <w:i/>
          <w:iCs/>
          <w:noProof/>
          <w:sz w:val="18"/>
          <w:szCs w:val="24"/>
        </w:rPr>
        <w:t>Drugs Aging</w:t>
      </w:r>
      <w:r w:rsidRPr="00B2496F">
        <w:rPr>
          <w:rFonts w:ascii="Arial" w:hAnsi="Arial" w:cs="Arial"/>
          <w:noProof/>
          <w:sz w:val="18"/>
          <w:szCs w:val="24"/>
        </w:rPr>
        <w:t xml:space="preserve"> 2001;</w:t>
      </w:r>
      <w:r w:rsidRPr="00B2496F">
        <w:rPr>
          <w:rFonts w:ascii="Arial" w:hAnsi="Arial" w:cs="Arial"/>
          <w:b/>
          <w:bCs/>
          <w:noProof/>
          <w:sz w:val="18"/>
          <w:szCs w:val="24"/>
        </w:rPr>
        <w:t>18</w:t>
      </w:r>
      <w:r w:rsidRPr="00B2496F">
        <w:rPr>
          <w:rFonts w:ascii="Arial" w:hAnsi="Arial" w:cs="Arial"/>
          <w:noProof/>
          <w:sz w:val="18"/>
          <w:szCs w:val="24"/>
        </w:rPr>
        <w:t xml:space="preserve">:151–164.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11. </w:t>
      </w:r>
      <w:r w:rsidRPr="00B2496F">
        <w:rPr>
          <w:rFonts w:ascii="Arial" w:hAnsi="Arial" w:cs="Arial"/>
          <w:noProof/>
          <w:sz w:val="18"/>
          <w:szCs w:val="24"/>
        </w:rPr>
        <w:tab/>
        <w:t xml:space="preserve">Bild DE, Bluemke DA, Burke GL, Detrano R, Diez Roux A V, Folsom AR, Greenland P, Jacob DRJ, Kronmal R, Liu K, Nelson JC, O’Leary D, Saad MF, Shea S, Szklo M, Tracy RP. Multi-Ethnic Study of Atherosclerosis: objectives and design. </w:t>
      </w:r>
      <w:r w:rsidRPr="00B2496F">
        <w:rPr>
          <w:rFonts w:ascii="Arial" w:hAnsi="Arial" w:cs="Arial"/>
          <w:i/>
          <w:iCs/>
          <w:noProof/>
          <w:sz w:val="18"/>
          <w:szCs w:val="24"/>
        </w:rPr>
        <w:t>Am J Epidemiol</w:t>
      </w:r>
      <w:r w:rsidRPr="00B2496F">
        <w:rPr>
          <w:rFonts w:ascii="Arial" w:hAnsi="Arial" w:cs="Arial"/>
          <w:noProof/>
          <w:sz w:val="18"/>
          <w:szCs w:val="24"/>
        </w:rPr>
        <w:t xml:space="preserve"> 2002;</w:t>
      </w:r>
      <w:r w:rsidRPr="00B2496F">
        <w:rPr>
          <w:rFonts w:ascii="Arial" w:hAnsi="Arial" w:cs="Arial"/>
          <w:b/>
          <w:bCs/>
          <w:noProof/>
          <w:sz w:val="18"/>
          <w:szCs w:val="24"/>
        </w:rPr>
        <w:t>156</w:t>
      </w:r>
      <w:r w:rsidRPr="00B2496F">
        <w:rPr>
          <w:rFonts w:ascii="Arial" w:hAnsi="Arial" w:cs="Arial"/>
          <w:noProof/>
          <w:sz w:val="18"/>
          <w:szCs w:val="24"/>
        </w:rPr>
        <w:t xml:space="preserve">:871–881.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12. </w:t>
      </w:r>
      <w:r w:rsidRPr="00B2496F">
        <w:rPr>
          <w:rFonts w:ascii="Arial" w:hAnsi="Arial" w:cs="Arial"/>
          <w:noProof/>
          <w:sz w:val="18"/>
          <w:szCs w:val="24"/>
        </w:rPr>
        <w:tab/>
        <w:t xml:space="preserve">Shepherd J, Blauw GJ, Murphy MB, Bollen ELEM, Buckley BM, Cobbe SM, Ford I, Gaw A, Hyland M, </w:t>
      </w:r>
      <w:r w:rsidRPr="00B2496F">
        <w:rPr>
          <w:rFonts w:ascii="Arial" w:hAnsi="Arial" w:cs="Arial"/>
          <w:noProof/>
          <w:sz w:val="18"/>
          <w:szCs w:val="24"/>
        </w:rPr>
        <w:lastRenderedPageBreak/>
        <w:t xml:space="preserve">Jukema JW, Kamper AM, Macfarlane PW, Meinders AE, Norrie J, Packard CJ, Perry IJ, Stott DJ, Sweeney BJ, Twomey C, Westendorp RGJ. Pravastatin in elderly individuals at risk of vascular disease (PROSPER): a randomised controlled trial. </w:t>
      </w:r>
      <w:r w:rsidRPr="00B2496F">
        <w:rPr>
          <w:rFonts w:ascii="Arial" w:hAnsi="Arial" w:cs="Arial"/>
          <w:i/>
          <w:iCs/>
          <w:noProof/>
          <w:sz w:val="18"/>
          <w:szCs w:val="24"/>
        </w:rPr>
        <w:t>Lancet</w:t>
      </w:r>
      <w:r w:rsidRPr="00B2496F">
        <w:rPr>
          <w:rFonts w:ascii="Arial" w:hAnsi="Arial" w:cs="Arial"/>
          <w:noProof/>
          <w:sz w:val="18"/>
          <w:szCs w:val="24"/>
        </w:rPr>
        <w:t xml:space="preserve"> 2002;</w:t>
      </w:r>
      <w:r w:rsidRPr="00B2496F">
        <w:rPr>
          <w:rFonts w:ascii="Arial" w:hAnsi="Arial" w:cs="Arial"/>
          <w:b/>
          <w:bCs/>
          <w:noProof/>
          <w:sz w:val="18"/>
          <w:szCs w:val="24"/>
        </w:rPr>
        <w:t>360</w:t>
      </w:r>
      <w:r w:rsidRPr="00B2496F">
        <w:rPr>
          <w:rFonts w:ascii="Arial" w:hAnsi="Arial" w:cs="Arial"/>
          <w:noProof/>
          <w:sz w:val="18"/>
          <w:szCs w:val="24"/>
        </w:rPr>
        <w:t xml:space="preserve">:1623–1630.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13. </w:t>
      </w:r>
      <w:r w:rsidRPr="00B2496F">
        <w:rPr>
          <w:rFonts w:ascii="Arial" w:hAnsi="Arial" w:cs="Arial"/>
          <w:noProof/>
          <w:sz w:val="18"/>
          <w:szCs w:val="24"/>
        </w:rPr>
        <w:tab/>
        <w:t xml:space="preserve">SPRINT Research Group, Wright J, Williamson J, Whelton P, Snyger J, Sink K, Rocco M, Reboussin D, Rahman M, Oparil S, Lewis C, Kimmel P, Johnson K, Goff DJ, Fine L, Cutler J, Cushman W, Cheung A, Ambrosius W. A Randomized Trial of Intensive versus Standard Blood-Pressure Control. </w:t>
      </w:r>
      <w:r w:rsidRPr="00B2496F">
        <w:rPr>
          <w:rFonts w:ascii="Arial" w:hAnsi="Arial" w:cs="Arial"/>
          <w:i/>
          <w:iCs/>
          <w:noProof/>
          <w:sz w:val="18"/>
          <w:szCs w:val="24"/>
        </w:rPr>
        <w:t>N Engl J Med</w:t>
      </w:r>
      <w:r w:rsidRPr="00B2496F">
        <w:rPr>
          <w:rFonts w:ascii="Arial" w:hAnsi="Arial" w:cs="Arial"/>
          <w:noProof/>
          <w:sz w:val="18"/>
          <w:szCs w:val="24"/>
        </w:rPr>
        <w:t xml:space="preserve"> 2015;</w:t>
      </w:r>
      <w:r w:rsidRPr="00B2496F">
        <w:rPr>
          <w:rFonts w:ascii="Arial" w:hAnsi="Arial" w:cs="Arial"/>
          <w:b/>
          <w:bCs/>
          <w:noProof/>
          <w:sz w:val="18"/>
          <w:szCs w:val="24"/>
        </w:rPr>
        <w:t>373</w:t>
      </w:r>
      <w:r w:rsidRPr="00B2496F">
        <w:rPr>
          <w:rFonts w:ascii="Arial" w:hAnsi="Arial" w:cs="Arial"/>
          <w:noProof/>
          <w:sz w:val="18"/>
          <w:szCs w:val="24"/>
        </w:rPr>
        <w:t xml:space="preserve">:2103–2116.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14. </w:t>
      </w:r>
      <w:r w:rsidRPr="00B2496F">
        <w:rPr>
          <w:rFonts w:ascii="Arial" w:hAnsi="Arial" w:cs="Arial"/>
          <w:noProof/>
          <w:sz w:val="18"/>
          <w:szCs w:val="24"/>
        </w:rPr>
        <w:tab/>
        <w:t xml:space="preserve">Williamson JD, Supiano MA, Applegate WB, Berlowitz DR, Campbell RC, Chertow GM, Fine LJ, Haley WE, Hawfield AT, Ix JH, Kitzman DW, Kostis JB, Krousel-Wood MA, Launer LJ, Oparil S, Rodriguez CJ, Roumie CL, Shorr RI, Sink KM, Wadley VG, Whelton PK, Whittle J, Woolard NF, Wright JTJ, Pajewski NM. Intensive vs Standard Blood Pressure Control and Cardiovascular Disease Outcomes in Adults Aged &gt;/=75 Years: A Randomized Clinical Trial. </w:t>
      </w:r>
      <w:r w:rsidRPr="00B2496F">
        <w:rPr>
          <w:rFonts w:ascii="Arial" w:hAnsi="Arial" w:cs="Arial"/>
          <w:i/>
          <w:iCs/>
          <w:noProof/>
          <w:sz w:val="18"/>
          <w:szCs w:val="24"/>
        </w:rPr>
        <w:t>JAMA</w:t>
      </w:r>
      <w:r w:rsidRPr="00B2496F">
        <w:rPr>
          <w:rFonts w:ascii="Arial" w:hAnsi="Arial" w:cs="Arial"/>
          <w:noProof/>
          <w:sz w:val="18"/>
          <w:szCs w:val="24"/>
        </w:rPr>
        <w:t xml:space="preserve"> 2016;</w:t>
      </w:r>
      <w:r w:rsidRPr="00B2496F">
        <w:rPr>
          <w:rFonts w:ascii="Arial" w:hAnsi="Arial" w:cs="Arial"/>
          <w:b/>
          <w:bCs/>
          <w:noProof/>
          <w:sz w:val="18"/>
          <w:szCs w:val="24"/>
        </w:rPr>
        <w:t>315</w:t>
      </w:r>
      <w:r w:rsidRPr="00B2496F">
        <w:rPr>
          <w:rFonts w:ascii="Arial" w:hAnsi="Arial" w:cs="Arial"/>
          <w:noProof/>
          <w:sz w:val="18"/>
          <w:szCs w:val="24"/>
        </w:rPr>
        <w:t xml:space="preserve">:2673–2682.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15. </w:t>
      </w:r>
      <w:r w:rsidRPr="00B2496F">
        <w:rPr>
          <w:rFonts w:ascii="Arial" w:hAnsi="Arial" w:cs="Arial"/>
          <w:noProof/>
          <w:sz w:val="18"/>
          <w:szCs w:val="24"/>
        </w:rPr>
        <w:tab/>
        <w:t xml:space="preserve">SCORE2 Working Group. European Society of Cardiology SCORE2 risk prediction algorithms: revised models to estimate 10-year risk of cardiovascular disease in Europe. Under review.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lang w:val="nl-NL"/>
        </w:rPr>
      </w:pPr>
      <w:r w:rsidRPr="00B2496F">
        <w:rPr>
          <w:rFonts w:ascii="Arial" w:hAnsi="Arial" w:cs="Arial"/>
          <w:noProof/>
          <w:sz w:val="18"/>
          <w:szCs w:val="24"/>
        </w:rPr>
        <w:t xml:space="preserve">16. </w:t>
      </w:r>
      <w:r w:rsidRPr="00B2496F">
        <w:rPr>
          <w:rFonts w:ascii="Arial" w:hAnsi="Arial" w:cs="Arial"/>
          <w:noProof/>
          <w:sz w:val="18"/>
          <w:szCs w:val="24"/>
        </w:rPr>
        <w:tab/>
        <w:t xml:space="preserve">Conroy RM, Pyörälä K, Fitzgerald AP, Sans S, Menotti A, Backer G De, Bacquer D De, Ducimetière P, Group  on behalf of the S project, Jousilahti P, Keil U, Njølstad I, Oganov RG, Thomsen T, Tunstall-Pedoe H, Tverdal A, Wedel H, Whincup P, Wilhelmsen L, Graham IM, on behalf of the SCORE project group. Estimation of ten-year risk of fatal cardiovascular disease in Europe: the SCORE project. </w:t>
      </w:r>
      <w:r w:rsidRPr="00B2496F">
        <w:rPr>
          <w:rFonts w:ascii="Arial" w:hAnsi="Arial" w:cs="Arial"/>
          <w:i/>
          <w:iCs/>
          <w:noProof/>
          <w:sz w:val="18"/>
          <w:szCs w:val="24"/>
          <w:lang w:val="nl-NL"/>
        </w:rPr>
        <w:t>Eur Heart J</w:t>
      </w:r>
      <w:r w:rsidRPr="00B2496F">
        <w:rPr>
          <w:rFonts w:ascii="Arial" w:hAnsi="Arial" w:cs="Arial"/>
          <w:noProof/>
          <w:sz w:val="18"/>
          <w:szCs w:val="24"/>
          <w:lang w:val="nl-NL"/>
        </w:rPr>
        <w:t xml:space="preserve"> 2003;</w:t>
      </w:r>
      <w:r w:rsidRPr="00B2496F">
        <w:rPr>
          <w:rFonts w:ascii="Arial" w:hAnsi="Arial" w:cs="Arial"/>
          <w:b/>
          <w:bCs/>
          <w:noProof/>
          <w:sz w:val="18"/>
          <w:szCs w:val="24"/>
          <w:lang w:val="nl-NL"/>
        </w:rPr>
        <w:t>24</w:t>
      </w:r>
      <w:r w:rsidRPr="00B2496F">
        <w:rPr>
          <w:rFonts w:ascii="Arial" w:hAnsi="Arial" w:cs="Arial"/>
          <w:noProof/>
          <w:sz w:val="18"/>
          <w:szCs w:val="24"/>
          <w:lang w:val="nl-NL"/>
        </w:rPr>
        <w:t xml:space="preserve">:987–1003.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lang w:val="nl-NL"/>
        </w:rPr>
        <w:t xml:space="preserve">17. </w:t>
      </w:r>
      <w:r w:rsidRPr="00B2496F">
        <w:rPr>
          <w:rFonts w:ascii="Arial" w:hAnsi="Arial" w:cs="Arial"/>
          <w:noProof/>
          <w:sz w:val="18"/>
          <w:szCs w:val="24"/>
          <w:lang w:val="nl-NL"/>
        </w:rPr>
        <w:tab/>
        <w:t xml:space="preserve">Kaasenbrood L, Bhatt DL, Dorresteijn JA, Wilson PW, D’Agostino RB, Massaron JM, Graaf Y van der, Cramer MJ, Kappelle LJ, Borst GJ de, Steg PG, Visseren FL. </w:t>
      </w:r>
      <w:r w:rsidRPr="00B2496F">
        <w:rPr>
          <w:rFonts w:ascii="Arial" w:hAnsi="Arial" w:cs="Arial"/>
          <w:noProof/>
          <w:sz w:val="18"/>
          <w:szCs w:val="24"/>
        </w:rPr>
        <w:t xml:space="preserve">Estimated life-expectancy without recurrent cardiovascular events in patients with vascular disease: the SMART-REACH model. </w:t>
      </w:r>
      <w:r w:rsidRPr="00B2496F">
        <w:rPr>
          <w:rFonts w:ascii="Arial" w:hAnsi="Arial" w:cs="Arial"/>
          <w:i/>
          <w:iCs/>
          <w:noProof/>
          <w:sz w:val="18"/>
          <w:szCs w:val="24"/>
        </w:rPr>
        <w:t>J Am Heart Assoc</w:t>
      </w:r>
      <w:r w:rsidRPr="00B2496F">
        <w:rPr>
          <w:rFonts w:ascii="Arial" w:hAnsi="Arial" w:cs="Arial"/>
          <w:noProof/>
          <w:sz w:val="18"/>
          <w:szCs w:val="24"/>
        </w:rPr>
        <w:t xml:space="preserve"> 2018;</w:t>
      </w:r>
      <w:r w:rsidRPr="00B2496F">
        <w:rPr>
          <w:rFonts w:ascii="Arial" w:hAnsi="Arial" w:cs="Arial"/>
          <w:b/>
          <w:bCs/>
          <w:noProof/>
          <w:sz w:val="18"/>
          <w:szCs w:val="24"/>
        </w:rPr>
        <w:t>7</w:t>
      </w:r>
      <w:r w:rsidRPr="00B2496F">
        <w:rPr>
          <w:rFonts w:ascii="Arial" w:hAnsi="Arial" w:cs="Arial"/>
          <w:noProof/>
          <w:sz w:val="18"/>
          <w:szCs w:val="24"/>
        </w:rPr>
        <w:t xml:space="preserve">:e009217.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18. </w:t>
      </w:r>
      <w:r w:rsidRPr="00B2496F">
        <w:rPr>
          <w:rFonts w:ascii="Arial" w:hAnsi="Arial" w:cs="Arial"/>
          <w:noProof/>
          <w:sz w:val="18"/>
          <w:szCs w:val="24"/>
        </w:rPr>
        <w:tab/>
        <w:t xml:space="preserve">Dorresteijn JAN, Visseren FLJ, Ridker PM, Wassink AMJ, Paynter NP, Steyerberg EW, Graaf Y van der, Cook NR. Estimating treatment effects for individual patients based on the results of randomised clinical trials. </w:t>
      </w:r>
      <w:r w:rsidRPr="00B2496F">
        <w:rPr>
          <w:rFonts w:ascii="Arial" w:hAnsi="Arial" w:cs="Arial"/>
          <w:i/>
          <w:iCs/>
          <w:noProof/>
          <w:sz w:val="18"/>
          <w:szCs w:val="24"/>
        </w:rPr>
        <w:t>BMJ</w:t>
      </w:r>
      <w:r w:rsidRPr="00B2496F">
        <w:rPr>
          <w:rFonts w:ascii="Arial" w:hAnsi="Arial" w:cs="Arial"/>
          <w:noProof/>
          <w:sz w:val="18"/>
          <w:szCs w:val="24"/>
        </w:rPr>
        <w:t xml:space="preserve"> 2011;</w:t>
      </w:r>
      <w:r w:rsidRPr="00B2496F">
        <w:rPr>
          <w:rFonts w:ascii="Arial" w:hAnsi="Arial" w:cs="Arial"/>
          <w:b/>
          <w:bCs/>
          <w:noProof/>
          <w:sz w:val="18"/>
          <w:szCs w:val="24"/>
        </w:rPr>
        <w:t>343</w:t>
      </w:r>
      <w:r w:rsidRPr="00B2496F">
        <w:rPr>
          <w:rFonts w:ascii="Arial" w:hAnsi="Arial" w:cs="Arial"/>
          <w:noProof/>
          <w:sz w:val="18"/>
          <w:szCs w:val="24"/>
        </w:rPr>
        <w:t xml:space="preserve">:d5888.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19. </w:t>
      </w:r>
      <w:r w:rsidRPr="00B2496F">
        <w:rPr>
          <w:rFonts w:ascii="Arial" w:hAnsi="Arial" w:cs="Arial"/>
          <w:noProof/>
          <w:sz w:val="18"/>
          <w:szCs w:val="24"/>
        </w:rPr>
        <w:tab/>
        <w:t xml:space="preserve">Ludvigsson JF, Andersson E, Ekbom A, Feychting M, Kim J-L, Reuterwall C, Heurgren M, Olausson PO. External review and validation of the Swedish national inpatient register. </w:t>
      </w:r>
      <w:r w:rsidRPr="00B2496F">
        <w:rPr>
          <w:rFonts w:ascii="Arial" w:hAnsi="Arial" w:cs="Arial"/>
          <w:i/>
          <w:iCs/>
          <w:noProof/>
          <w:sz w:val="18"/>
          <w:szCs w:val="24"/>
        </w:rPr>
        <w:t>BMC Public Health</w:t>
      </w:r>
      <w:r w:rsidRPr="00B2496F">
        <w:rPr>
          <w:rFonts w:ascii="Arial" w:hAnsi="Arial" w:cs="Arial"/>
          <w:noProof/>
          <w:sz w:val="18"/>
          <w:szCs w:val="24"/>
        </w:rPr>
        <w:t xml:space="preserve"> BioMed Central Ltd; 2011;</w:t>
      </w:r>
      <w:r w:rsidRPr="00B2496F">
        <w:rPr>
          <w:rFonts w:ascii="Arial" w:hAnsi="Arial" w:cs="Arial"/>
          <w:b/>
          <w:bCs/>
          <w:noProof/>
          <w:sz w:val="18"/>
          <w:szCs w:val="24"/>
        </w:rPr>
        <w:t>11</w:t>
      </w:r>
      <w:r w:rsidRPr="00B2496F">
        <w:rPr>
          <w:rFonts w:ascii="Arial" w:hAnsi="Arial" w:cs="Arial"/>
          <w:noProof/>
          <w:sz w:val="18"/>
          <w:szCs w:val="24"/>
        </w:rPr>
        <w:t xml:space="preserve">:450.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20. </w:t>
      </w:r>
      <w:r w:rsidRPr="00B2496F">
        <w:rPr>
          <w:rFonts w:ascii="Arial" w:hAnsi="Arial" w:cs="Arial"/>
          <w:noProof/>
          <w:sz w:val="18"/>
          <w:szCs w:val="24"/>
        </w:rPr>
        <w:tab/>
        <w:t xml:space="preserve">Leitsalu L, Haller T, Esko T, Tammesoo M-L, Alavere H, Snieder H, Perola M, Ng PC, Mägi R, Milani L, Fischer K, Metspalu A. Cohort Profile: Estonian Biobank of the Estonian Genome Center, University of Tartu. </w:t>
      </w:r>
      <w:r w:rsidRPr="00B2496F">
        <w:rPr>
          <w:rFonts w:ascii="Arial" w:hAnsi="Arial" w:cs="Arial"/>
          <w:i/>
          <w:iCs/>
          <w:noProof/>
          <w:sz w:val="18"/>
          <w:szCs w:val="24"/>
        </w:rPr>
        <w:t>Int J Epidemiol</w:t>
      </w:r>
      <w:r w:rsidRPr="00B2496F">
        <w:rPr>
          <w:rFonts w:ascii="Arial" w:hAnsi="Arial" w:cs="Arial"/>
          <w:noProof/>
          <w:sz w:val="18"/>
          <w:szCs w:val="24"/>
        </w:rPr>
        <w:t xml:space="preserve"> 2015;</w:t>
      </w:r>
      <w:r w:rsidRPr="00B2496F">
        <w:rPr>
          <w:rFonts w:ascii="Arial" w:hAnsi="Arial" w:cs="Arial"/>
          <w:b/>
          <w:bCs/>
          <w:noProof/>
          <w:sz w:val="18"/>
          <w:szCs w:val="24"/>
        </w:rPr>
        <w:t>44</w:t>
      </w:r>
      <w:r w:rsidRPr="00B2496F">
        <w:rPr>
          <w:rFonts w:ascii="Arial" w:hAnsi="Arial" w:cs="Arial"/>
          <w:noProof/>
          <w:sz w:val="18"/>
          <w:szCs w:val="24"/>
        </w:rPr>
        <w:t xml:space="preserve">:1137–1147.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21. </w:t>
      </w:r>
      <w:r w:rsidRPr="00B2496F">
        <w:rPr>
          <w:rFonts w:ascii="Arial" w:hAnsi="Arial" w:cs="Arial"/>
          <w:noProof/>
          <w:sz w:val="18"/>
          <w:szCs w:val="24"/>
        </w:rPr>
        <w:tab/>
        <w:t xml:space="preserve">Peasey A, Bobak M, Kubinova R, Malyutina S, Pajak A, Tamosiunas A, Pikhart H, Nicholson A, Marmot M. </w:t>
      </w:r>
      <w:r w:rsidRPr="00B2496F">
        <w:rPr>
          <w:rFonts w:ascii="Arial" w:hAnsi="Arial" w:cs="Arial"/>
          <w:noProof/>
          <w:sz w:val="18"/>
          <w:szCs w:val="24"/>
        </w:rPr>
        <w:lastRenderedPageBreak/>
        <w:t xml:space="preserve">Determinants of cardiovascular disease and other non-communicable diseases in Central and Eastern Europe: Rationale and design of the HAPIEE study. </w:t>
      </w:r>
      <w:r w:rsidRPr="00B2496F">
        <w:rPr>
          <w:rFonts w:ascii="Arial" w:hAnsi="Arial" w:cs="Arial"/>
          <w:i/>
          <w:iCs/>
          <w:noProof/>
          <w:sz w:val="18"/>
          <w:szCs w:val="24"/>
        </w:rPr>
        <w:t>BMC Public Health</w:t>
      </w:r>
      <w:r w:rsidRPr="00B2496F">
        <w:rPr>
          <w:rFonts w:ascii="Arial" w:hAnsi="Arial" w:cs="Arial"/>
          <w:noProof/>
          <w:sz w:val="18"/>
          <w:szCs w:val="24"/>
        </w:rPr>
        <w:t xml:space="preserve"> 2006;</w:t>
      </w:r>
      <w:r w:rsidRPr="00B2496F">
        <w:rPr>
          <w:rFonts w:ascii="Arial" w:hAnsi="Arial" w:cs="Arial"/>
          <w:b/>
          <w:bCs/>
          <w:noProof/>
          <w:sz w:val="18"/>
          <w:szCs w:val="24"/>
        </w:rPr>
        <w:t>6</w:t>
      </w:r>
      <w:r w:rsidRPr="00B2496F">
        <w:rPr>
          <w:rFonts w:ascii="Arial" w:hAnsi="Arial" w:cs="Arial"/>
          <w:noProof/>
          <w:sz w:val="18"/>
          <w:szCs w:val="24"/>
        </w:rPr>
        <w:t xml:space="preserve">:255.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22. </w:t>
      </w:r>
      <w:r w:rsidRPr="00B2496F">
        <w:rPr>
          <w:rFonts w:ascii="Arial" w:hAnsi="Arial" w:cs="Arial"/>
          <w:noProof/>
          <w:sz w:val="18"/>
          <w:szCs w:val="24"/>
        </w:rPr>
        <w:tab/>
        <w:t xml:space="preserve">Pennells L, Kaptoge S, Wood A, Sweeting M, Zhao X, White I, Burgess S, Willeit P, Bolton T, Moons KGM, Schouw YT van der, Selmer R, Khaw K-T, Gudnason V, Assmann G, Amouyel P, Salomaa V, Kivimaki M, Nordestgaard BG, Blaha MJ, Kuller LH, Brenner H, Gillum RF, Meisinger C, Ford I, Knuiman MW, Rosengren A, Lawlor DA, Volzke H, Cooper C, et al. Equalization of four cardiovascular risk algorithms after systematic recalibration: individual-participant meta-analysis of 86 prospective studies. </w:t>
      </w:r>
      <w:r w:rsidRPr="00B2496F">
        <w:rPr>
          <w:rFonts w:ascii="Arial" w:hAnsi="Arial" w:cs="Arial"/>
          <w:i/>
          <w:iCs/>
          <w:noProof/>
          <w:sz w:val="18"/>
          <w:szCs w:val="24"/>
        </w:rPr>
        <w:t>Eur Heart J</w:t>
      </w:r>
      <w:r w:rsidRPr="00B2496F">
        <w:rPr>
          <w:rFonts w:ascii="Arial" w:hAnsi="Arial" w:cs="Arial"/>
          <w:noProof/>
          <w:sz w:val="18"/>
          <w:szCs w:val="24"/>
        </w:rPr>
        <w:t xml:space="preserve"> 2019;</w:t>
      </w:r>
      <w:r w:rsidRPr="00B2496F">
        <w:rPr>
          <w:rFonts w:ascii="Arial" w:hAnsi="Arial" w:cs="Arial"/>
          <w:b/>
          <w:bCs/>
          <w:noProof/>
          <w:sz w:val="18"/>
          <w:szCs w:val="24"/>
        </w:rPr>
        <w:t>40</w:t>
      </w:r>
      <w:r w:rsidRPr="00B2496F">
        <w:rPr>
          <w:rFonts w:ascii="Arial" w:hAnsi="Arial" w:cs="Arial"/>
          <w:noProof/>
          <w:sz w:val="18"/>
          <w:szCs w:val="24"/>
        </w:rPr>
        <w:t xml:space="preserve">:621–631.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23. </w:t>
      </w:r>
      <w:r w:rsidRPr="00B2496F">
        <w:rPr>
          <w:rFonts w:ascii="Arial" w:hAnsi="Arial" w:cs="Arial"/>
          <w:noProof/>
          <w:sz w:val="18"/>
          <w:szCs w:val="24"/>
        </w:rPr>
        <w:tab/>
        <w:t xml:space="preserve">Ettehad D, Emdin CA, Kiran A, Anderson SG, Callender T, Emberson J, Chalmers J, Rodgers A, Rahimi K. Blood pressure lowering for prevention of cardiovascular disease and death: a systematic review and meta-analysis. </w:t>
      </w:r>
      <w:r w:rsidRPr="00B2496F">
        <w:rPr>
          <w:rFonts w:ascii="Arial" w:hAnsi="Arial" w:cs="Arial"/>
          <w:i/>
          <w:iCs/>
          <w:noProof/>
          <w:sz w:val="18"/>
          <w:szCs w:val="24"/>
        </w:rPr>
        <w:t>Lancet</w:t>
      </w:r>
      <w:r w:rsidRPr="00B2496F">
        <w:rPr>
          <w:rFonts w:ascii="Arial" w:hAnsi="Arial" w:cs="Arial"/>
          <w:noProof/>
          <w:sz w:val="18"/>
          <w:szCs w:val="24"/>
        </w:rPr>
        <w:t xml:space="preserve"> 2016;</w:t>
      </w:r>
      <w:r w:rsidRPr="00B2496F">
        <w:rPr>
          <w:rFonts w:ascii="Arial" w:hAnsi="Arial" w:cs="Arial"/>
          <w:b/>
          <w:bCs/>
          <w:noProof/>
          <w:sz w:val="18"/>
          <w:szCs w:val="24"/>
        </w:rPr>
        <w:t>387</w:t>
      </w:r>
      <w:r w:rsidRPr="00B2496F">
        <w:rPr>
          <w:rFonts w:ascii="Arial" w:hAnsi="Arial" w:cs="Arial"/>
          <w:noProof/>
          <w:sz w:val="18"/>
          <w:szCs w:val="24"/>
        </w:rPr>
        <w:t xml:space="preserve">:957–967.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24. </w:t>
      </w:r>
      <w:r w:rsidRPr="00B2496F">
        <w:rPr>
          <w:rFonts w:ascii="Arial" w:hAnsi="Arial" w:cs="Arial"/>
          <w:noProof/>
          <w:sz w:val="18"/>
          <w:szCs w:val="24"/>
        </w:rPr>
        <w:tab/>
        <w:t xml:space="preserve">Beckett NS, Peters R, Fletcher AE, Staessen JA, Liu L, Dumitrascu D, Stoyanovsky V, Antikainen RL, Nikitin Y, Anderson C, Belhani A, Forette F, Rajkumar C, Thijs L, Banya W, Bulpitt CJ. Treatment of hypertension in patients 80 years of age or older. </w:t>
      </w:r>
      <w:r w:rsidRPr="00B2496F">
        <w:rPr>
          <w:rFonts w:ascii="Arial" w:hAnsi="Arial" w:cs="Arial"/>
          <w:i/>
          <w:iCs/>
          <w:noProof/>
          <w:sz w:val="18"/>
          <w:szCs w:val="24"/>
        </w:rPr>
        <w:t>N Engl J Med</w:t>
      </w:r>
      <w:r w:rsidRPr="00B2496F">
        <w:rPr>
          <w:rFonts w:ascii="Arial" w:hAnsi="Arial" w:cs="Arial"/>
          <w:noProof/>
          <w:sz w:val="18"/>
          <w:szCs w:val="24"/>
        </w:rPr>
        <w:t xml:space="preserve"> 2008;</w:t>
      </w:r>
      <w:r w:rsidRPr="00B2496F">
        <w:rPr>
          <w:rFonts w:ascii="Arial" w:hAnsi="Arial" w:cs="Arial"/>
          <w:b/>
          <w:bCs/>
          <w:noProof/>
          <w:sz w:val="18"/>
          <w:szCs w:val="24"/>
        </w:rPr>
        <w:t>358</w:t>
      </w:r>
      <w:r w:rsidRPr="00B2496F">
        <w:rPr>
          <w:rFonts w:ascii="Arial" w:hAnsi="Arial" w:cs="Arial"/>
          <w:noProof/>
          <w:sz w:val="18"/>
          <w:szCs w:val="24"/>
        </w:rPr>
        <w:t xml:space="preserve">:1887–1898.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25. </w:t>
      </w:r>
      <w:r w:rsidRPr="00B2496F">
        <w:rPr>
          <w:rFonts w:ascii="Arial" w:hAnsi="Arial" w:cs="Arial"/>
          <w:noProof/>
          <w:sz w:val="18"/>
          <w:szCs w:val="24"/>
        </w:rPr>
        <w:tab/>
        <w:t xml:space="preserve">Baigent C, Blackwell L, Emberson J, Holland LE, Reith C, Bhala N, Peto R, Barnes EH, Keech A, Simes J, Collins R, Lemos J De, Braunwald E, Blazing M, Murphy S, Downs JR, Gotto A, Clearfield M, Holdaas H, Gordon D, Davis B, Koren M, Dahlof B, Poulter N, Sever P, Knopp RH, Fellström B, Holdaas H, Jardine A, Schmieder R, et al. Efficacy and safety of more intensive lowering of LDL cholesterol: A meta-analysis of data from 170 000 participants in 26 randomised trials. </w:t>
      </w:r>
      <w:r w:rsidRPr="00B2496F">
        <w:rPr>
          <w:rFonts w:ascii="Arial" w:hAnsi="Arial" w:cs="Arial"/>
          <w:i/>
          <w:iCs/>
          <w:noProof/>
          <w:sz w:val="18"/>
          <w:szCs w:val="24"/>
        </w:rPr>
        <w:t>Lancet</w:t>
      </w:r>
      <w:r w:rsidRPr="00B2496F">
        <w:rPr>
          <w:rFonts w:ascii="Arial" w:hAnsi="Arial" w:cs="Arial"/>
          <w:noProof/>
          <w:sz w:val="18"/>
          <w:szCs w:val="24"/>
        </w:rPr>
        <w:t xml:space="preserve"> Elsevier Ltd; 2010;</w:t>
      </w:r>
      <w:r w:rsidRPr="00B2496F">
        <w:rPr>
          <w:rFonts w:ascii="Arial" w:hAnsi="Arial" w:cs="Arial"/>
          <w:b/>
          <w:bCs/>
          <w:noProof/>
          <w:sz w:val="18"/>
          <w:szCs w:val="24"/>
        </w:rPr>
        <w:t>376</w:t>
      </w:r>
      <w:r w:rsidRPr="00B2496F">
        <w:rPr>
          <w:rFonts w:ascii="Arial" w:hAnsi="Arial" w:cs="Arial"/>
          <w:noProof/>
          <w:sz w:val="18"/>
          <w:szCs w:val="24"/>
        </w:rPr>
        <w:t xml:space="preserve">:1670–1681.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26. </w:t>
      </w:r>
      <w:r w:rsidRPr="00B2496F">
        <w:rPr>
          <w:rFonts w:ascii="Arial" w:hAnsi="Arial" w:cs="Arial"/>
          <w:noProof/>
          <w:sz w:val="18"/>
          <w:szCs w:val="24"/>
        </w:rPr>
        <w:tab/>
        <w:t xml:space="preserve">Blood Pressure Lowering Treatment Trialists’ Collaboration. Blood pressure-lowering treatment based on cardiovascular risk: a meta-analysis of individual patient data. </w:t>
      </w:r>
      <w:r w:rsidRPr="00B2496F">
        <w:rPr>
          <w:rFonts w:ascii="Arial" w:hAnsi="Arial" w:cs="Arial"/>
          <w:i/>
          <w:iCs/>
          <w:noProof/>
          <w:sz w:val="18"/>
          <w:szCs w:val="24"/>
        </w:rPr>
        <w:t>Lancet</w:t>
      </w:r>
      <w:r w:rsidRPr="00B2496F">
        <w:rPr>
          <w:rFonts w:ascii="Arial" w:hAnsi="Arial" w:cs="Arial"/>
          <w:noProof/>
          <w:sz w:val="18"/>
          <w:szCs w:val="24"/>
        </w:rPr>
        <w:t xml:space="preserve"> England; 2014;</w:t>
      </w:r>
      <w:r w:rsidRPr="00B2496F">
        <w:rPr>
          <w:rFonts w:ascii="Arial" w:hAnsi="Arial" w:cs="Arial"/>
          <w:b/>
          <w:bCs/>
          <w:noProof/>
          <w:sz w:val="18"/>
          <w:szCs w:val="24"/>
        </w:rPr>
        <w:t>384</w:t>
      </w:r>
      <w:r w:rsidRPr="00B2496F">
        <w:rPr>
          <w:rFonts w:ascii="Arial" w:hAnsi="Arial" w:cs="Arial"/>
          <w:noProof/>
          <w:sz w:val="18"/>
          <w:szCs w:val="24"/>
        </w:rPr>
        <w:t xml:space="preserve">:591–598.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szCs w:val="24"/>
        </w:rPr>
      </w:pPr>
      <w:r w:rsidRPr="00B2496F">
        <w:rPr>
          <w:rFonts w:ascii="Arial" w:hAnsi="Arial" w:cs="Arial"/>
          <w:noProof/>
          <w:sz w:val="18"/>
          <w:szCs w:val="24"/>
        </w:rPr>
        <w:t xml:space="preserve">27. </w:t>
      </w:r>
      <w:r w:rsidRPr="00B2496F">
        <w:rPr>
          <w:rFonts w:ascii="Arial" w:hAnsi="Arial" w:cs="Arial"/>
          <w:noProof/>
          <w:sz w:val="18"/>
          <w:szCs w:val="24"/>
        </w:rPr>
        <w:tab/>
        <w:t xml:space="preserve">Cholesterol Treatment Trialists’ Collaboration. Efficacy and safety of statin therapy in older people: a meta-analysis of individual participant data from 28 randomised controlled trials. </w:t>
      </w:r>
      <w:r w:rsidRPr="00B2496F">
        <w:rPr>
          <w:rFonts w:ascii="Arial" w:hAnsi="Arial" w:cs="Arial"/>
          <w:i/>
          <w:iCs/>
          <w:noProof/>
          <w:sz w:val="18"/>
          <w:szCs w:val="24"/>
        </w:rPr>
        <w:t>Lancet</w:t>
      </w:r>
      <w:r w:rsidRPr="00B2496F">
        <w:rPr>
          <w:rFonts w:ascii="Arial" w:hAnsi="Arial" w:cs="Arial"/>
          <w:noProof/>
          <w:sz w:val="18"/>
          <w:szCs w:val="24"/>
        </w:rPr>
        <w:t xml:space="preserve"> 2019;</w:t>
      </w:r>
      <w:r w:rsidRPr="00B2496F">
        <w:rPr>
          <w:rFonts w:ascii="Arial" w:hAnsi="Arial" w:cs="Arial"/>
          <w:b/>
          <w:bCs/>
          <w:noProof/>
          <w:sz w:val="18"/>
          <w:szCs w:val="24"/>
        </w:rPr>
        <w:t>393</w:t>
      </w:r>
      <w:r w:rsidRPr="00B2496F">
        <w:rPr>
          <w:rFonts w:ascii="Arial" w:hAnsi="Arial" w:cs="Arial"/>
          <w:noProof/>
          <w:sz w:val="18"/>
          <w:szCs w:val="24"/>
        </w:rPr>
        <w:t xml:space="preserve">:407–415. </w:t>
      </w:r>
    </w:p>
    <w:p w:rsidR="00365CB9" w:rsidRPr="00B2496F" w:rsidRDefault="00365CB9" w:rsidP="00365CB9">
      <w:pPr>
        <w:widowControl w:val="0"/>
        <w:autoSpaceDE w:val="0"/>
        <w:autoSpaceDN w:val="0"/>
        <w:adjustRightInd w:val="0"/>
        <w:spacing w:after="0" w:line="480" w:lineRule="auto"/>
        <w:ind w:left="640" w:hanging="640"/>
        <w:rPr>
          <w:rFonts w:ascii="Arial" w:hAnsi="Arial" w:cs="Arial"/>
          <w:noProof/>
          <w:sz w:val="18"/>
        </w:rPr>
      </w:pPr>
      <w:r w:rsidRPr="00B2496F">
        <w:rPr>
          <w:rFonts w:ascii="Arial" w:hAnsi="Arial" w:cs="Arial"/>
          <w:noProof/>
          <w:sz w:val="18"/>
          <w:szCs w:val="24"/>
        </w:rPr>
        <w:t xml:space="preserve">28. </w:t>
      </w:r>
      <w:r w:rsidRPr="00B2496F">
        <w:rPr>
          <w:rFonts w:ascii="Arial" w:hAnsi="Arial" w:cs="Arial"/>
          <w:noProof/>
          <w:sz w:val="18"/>
          <w:szCs w:val="24"/>
        </w:rPr>
        <w:tab/>
        <w:t xml:space="preserve">Kent DM, Steyerberg E, Klaveren D van. Personalized evidence based medicine: predictive approaches to heterogeneous treatment effects. </w:t>
      </w:r>
      <w:r w:rsidRPr="00B2496F">
        <w:rPr>
          <w:rFonts w:ascii="Arial" w:hAnsi="Arial" w:cs="Arial"/>
          <w:i/>
          <w:iCs/>
          <w:noProof/>
          <w:sz w:val="18"/>
          <w:szCs w:val="24"/>
        </w:rPr>
        <w:t>BMJ</w:t>
      </w:r>
      <w:r w:rsidRPr="00B2496F">
        <w:rPr>
          <w:rFonts w:ascii="Arial" w:hAnsi="Arial" w:cs="Arial"/>
          <w:noProof/>
          <w:sz w:val="18"/>
          <w:szCs w:val="24"/>
        </w:rPr>
        <w:t xml:space="preserve"> 2018;</w:t>
      </w:r>
      <w:r w:rsidRPr="00B2496F">
        <w:rPr>
          <w:rFonts w:ascii="Arial" w:hAnsi="Arial" w:cs="Arial"/>
          <w:b/>
          <w:bCs/>
          <w:noProof/>
          <w:sz w:val="18"/>
          <w:szCs w:val="24"/>
        </w:rPr>
        <w:t>363</w:t>
      </w:r>
      <w:r w:rsidRPr="00B2496F">
        <w:rPr>
          <w:rFonts w:ascii="Arial" w:hAnsi="Arial" w:cs="Arial"/>
          <w:noProof/>
          <w:sz w:val="18"/>
          <w:szCs w:val="24"/>
        </w:rPr>
        <w:t xml:space="preserve">:k4245. </w:t>
      </w:r>
    </w:p>
    <w:p w:rsidR="00C26AF6" w:rsidRPr="00C5352E" w:rsidRDefault="00C26AF6" w:rsidP="00DF5E1D">
      <w:pPr>
        <w:pStyle w:val="dGewonetekst"/>
      </w:pPr>
      <w:r w:rsidRPr="00B2496F">
        <w:rPr>
          <w:sz w:val="18"/>
        </w:rPr>
        <w:fldChar w:fldCharType="end"/>
      </w:r>
    </w:p>
    <w:sectPr w:rsidR="00C26AF6" w:rsidRPr="00C5352E" w:rsidSect="001A3C40">
      <w:type w:val="continuous"/>
      <w:pgSz w:w="12240" w:h="15840"/>
      <w:pgMar w:top="1276" w:right="1440" w:bottom="1276" w:left="1440" w:header="284" w:footer="3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95EEF" w:rsidRDefault="00795EEF">
      <w:pPr>
        <w:spacing w:after="0" w:line="240" w:lineRule="auto"/>
      </w:pPr>
      <w:r>
        <w:separator/>
      </w:r>
    </w:p>
  </w:endnote>
  <w:endnote w:type="continuationSeparator" w:id="0">
    <w:p w:rsidR="00795EEF" w:rsidRDefault="00795E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egoe UI Semilight">
    <w:panose1 w:val="020B04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6805377"/>
      <w:docPartObj>
        <w:docPartGallery w:val="Page Numbers (Bottom of Page)"/>
        <w:docPartUnique/>
      </w:docPartObj>
    </w:sdtPr>
    <w:sdtContent>
      <w:p w:rsidR="00795EEF" w:rsidRDefault="00795EEF">
        <w:pPr>
          <w:pStyle w:val="Voettekst"/>
          <w:jc w:val="center"/>
        </w:pPr>
        <w:r>
          <w:fldChar w:fldCharType="begin"/>
        </w:r>
        <w:r>
          <w:instrText>PAGE   \* MERGEFORMAT</w:instrText>
        </w:r>
        <w:r>
          <w:fldChar w:fldCharType="separate"/>
        </w:r>
        <w:r w:rsidR="00355CD1" w:rsidRPr="00355CD1">
          <w:rPr>
            <w:noProof/>
            <w:lang w:val="nl-NL"/>
          </w:rPr>
          <w:t>37</w:t>
        </w:r>
        <w:r>
          <w:fldChar w:fldCharType="end"/>
        </w:r>
      </w:p>
    </w:sdtContent>
  </w:sdt>
  <w:p w:rsidR="00795EEF" w:rsidRDefault="00795EEF">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95EEF" w:rsidRDefault="00795EEF">
      <w:pPr>
        <w:spacing w:after="0" w:line="240" w:lineRule="auto"/>
      </w:pPr>
      <w:r>
        <w:separator/>
      </w:r>
    </w:p>
  </w:footnote>
  <w:footnote w:type="continuationSeparator" w:id="0">
    <w:p w:rsidR="00795EEF" w:rsidRDefault="00795E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BF67B7"/>
    <w:multiLevelType w:val="hybridMultilevel"/>
    <w:tmpl w:val="50C8687A"/>
    <w:lvl w:ilvl="0" w:tplc="73CCCAD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374A5030"/>
    <w:multiLevelType w:val="hybridMultilevel"/>
    <w:tmpl w:val="68C24C0C"/>
    <w:lvl w:ilvl="0" w:tplc="B72C8EEC">
      <w:numFmt w:val="bullet"/>
      <w:lvlText w:val="-"/>
      <w:lvlJc w:val="left"/>
      <w:pPr>
        <w:ind w:left="720" w:hanging="360"/>
      </w:pPr>
      <w:rPr>
        <w:rFonts w:ascii="Segoe UI" w:eastAsiaTheme="minorHAnsi" w:hAnsi="Segoe UI" w:cs="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2685A48"/>
    <w:multiLevelType w:val="hybridMultilevel"/>
    <w:tmpl w:val="A1D8431E"/>
    <w:lvl w:ilvl="0" w:tplc="3F341000">
      <w:start w:val="1"/>
      <w:numFmt w:val="bullet"/>
      <w:lvlText w:val="-"/>
      <w:lvlJc w:val="left"/>
      <w:pPr>
        <w:tabs>
          <w:tab w:val="num" w:pos="720"/>
        </w:tabs>
        <w:ind w:left="720" w:hanging="360"/>
      </w:pPr>
      <w:rPr>
        <w:rFonts w:ascii="Segoe UI" w:hAnsi="Segoe UI" w:hint="default"/>
      </w:rPr>
    </w:lvl>
    <w:lvl w:ilvl="1" w:tplc="4EF2FB8C" w:tentative="1">
      <w:start w:val="1"/>
      <w:numFmt w:val="bullet"/>
      <w:lvlText w:val="-"/>
      <w:lvlJc w:val="left"/>
      <w:pPr>
        <w:tabs>
          <w:tab w:val="num" w:pos="1440"/>
        </w:tabs>
        <w:ind w:left="1440" w:hanging="360"/>
      </w:pPr>
      <w:rPr>
        <w:rFonts w:ascii="Segoe UI" w:hAnsi="Segoe UI" w:hint="default"/>
      </w:rPr>
    </w:lvl>
    <w:lvl w:ilvl="2" w:tplc="E29E6170" w:tentative="1">
      <w:start w:val="1"/>
      <w:numFmt w:val="bullet"/>
      <w:lvlText w:val="-"/>
      <w:lvlJc w:val="left"/>
      <w:pPr>
        <w:tabs>
          <w:tab w:val="num" w:pos="2160"/>
        </w:tabs>
        <w:ind w:left="2160" w:hanging="360"/>
      </w:pPr>
      <w:rPr>
        <w:rFonts w:ascii="Segoe UI" w:hAnsi="Segoe UI" w:hint="default"/>
      </w:rPr>
    </w:lvl>
    <w:lvl w:ilvl="3" w:tplc="7AA45688" w:tentative="1">
      <w:start w:val="1"/>
      <w:numFmt w:val="bullet"/>
      <w:lvlText w:val="-"/>
      <w:lvlJc w:val="left"/>
      <w:pPr>
        <w:tabs>
          <w:tab w:val="num" w:pos="2880"/>
        </w:tabs>
        <w:ind w:left="2880" w:hanging="360"/>
      </w:pPr>
      <w:rPr>
        <w:rFonts w:ascii="Segoe UI" w:hAnsi="Segoe UI" w:hint="default"/>
      </w:rPr>
    </w:lvl>
    <w:lvl w:ilvl="4" w:tplc="07E2AD28" w:tentative="1">
      <w:start w:val="1"/>
      <w:numFmt w:val="bullet"/>
      <w:lvlText w:val="-"/>
      <w:lvlJc w:val="left"/>
      <w:pPr>
        <w:tabs>
          <w:tab w:val="num" w:pos="3600"/>
        </w:tabs>
        <w:ind w:left="3600" w:hanging="360"/>
      </w:pPr>
      <w:rPr>
        <w:rFonts w:ascii="Segoe UI" w:hAnsi="Segoe UI" w:hint="default"/>
      </w:rPr>
    </w:lvl>
    <w:lvl w:ilvl="5" w:tplc="4D647276" w:tentative="1">
      <w:start w:val="1"/>
      <w:numFmt w:val="bullet"/>
      <w:lvlText w:val="-"/>
      <w:lvlJc w:val="left"/>
      <w:pPr>
        <w:tabs>
          <w:tab w:val="num" w:pos="4320"/>
        </w:tabs>
        <w:ind w:left="4320" w:hanging="360"/>
      </w:pPr>
      <w:rPr>
        <w:rFonts w:ascii="Segoe UI" w:hAnsi="Segoe UI" w:hint="default"/>
      </w:rPr>
    </w:lvl>
    <w:lvl w:ilvl="6" w:tplc="82266220" w:tentative="1">
      <w:start w:val="1"/>
      <w:numFmt w:val="bullet"/>
      <w:lvlText w:val="-"/>
      <w:lvlJc w:val="left"/>
      <w:pPr>
        <w:tabs>
          <w:tab w:val="num" w:pos="5040"/>
        </w:tabs>
        <w:ind w:left="5040" w:hanging="360"/>
      </w:pPr>
      <w:rPr>
        <w:rFonts w:ascii="Segoe UI" w:hAnsi="Segoe UI" w:hint="default"/>
      </w:rPr>
    </w:lvl>
    <w:lvl w:ilvl="7" w:tplc="BC2A1FF4" w:tentative="1">
      <w:start w:val="1"/>
      <w:numFmt w:val="bullet"/>
      <w:lvlText w:val="-"/>
      <w:lvlJc w:val="left"/>
      <w:pPr>
        <w:tabs>
          <w:tab w:val="num" w:pos="5760"/>
        </w:tabs>
        <w:ind w:left="5760" w:hanging="360"/>
      </w:pPr>
      <w:rPr>
        <w:rFonts w:ascii="Segoe UI" w:hAnsi="Segoe UI" w:hint="default"/>
      </w:rPr>
    </w:lvl>
    <w:lvl w:ilvl="8" w:tplc="2A24F328" w:tentative="1">
      <w:start w:val="1"/>
      <w:numFmt w:val="bullet"/>
      <w:lvlText w:val="-"/>
      <w:lvlJc w:val="left"/>
      <w:pPr>
        <w:tabs>
          <w:tab w:val="num" w:pos="6480"/>
        </w:tabs>
        <w:ind w:left="6480" w:hanging="360"/>
      </w:pPr>
      <w:rPr>
        <w:rFonts w:ascii="Segoe UI" w:hAnsi="Segoe UI" w:hint="default"/>
      </w:rPr>
    </w:lvl>
  </w:abstractNum>
  <w:abstractNum w:abstractNumId="3" w15:restartNumberingAfterBreak="0">
    <w:nsid w:val="4D1141DF"/>
    <w:multiLevelType w:val="hybridMultilevel"/>
    <w:tmpl w:val="953E06C4"/>
    <w:lvl w:ilvl="0" w:tplc="ABB02248">
      <w:start w:val="8"/>
      <w:numFmt w:val="bullet"/>
      <w:lvlText w:val="-"/>
      <w:lvlJc w:val="left"/>
      <w:pPr>
        <w:ind w:left="720" w:hanging="360"/>
      </w:pPr>
      <w:rPr>
        <w:rFonts w:ascii="Times New Roman" w:eastAsiaTheme="minorHAnsi"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61D6230A"/>
    <w:multiLevelType w:val="hybridMultilevel"/>
    <w:tmpl w:val="EFB8304E"/>
    <w:lvl w:ilvl="0" w:tplc="697ADF8A">
      <w:start w:val="1"/>
      <w:numFmt w:val="bullet"/>
      <w:lvlText w:val="-"/>
      <w:lvlJc w:val="left"/>
      <w:pPr>
        <w:tabs>
          <w:tab w:val="num" w:pos="720"/>
        </w:tabs>
        <w:ind w:left="720" w:hanging="360"/>
      </w:pPr>
      <w:rPr>
        <w:rFonts w:ascii="Segoe UI" w:hAnsi="Segoe UI" w:hint="default"/>
      </w:rPr>
    </w:lvl>
    <w:lvl w:ilvl="1" w:tplc="6E3C9698" w:tentative="1">
      <w:start w:val="1"/>
      <w:numFmt w:val="bullet"/>
      <w:lvlText w:val="-"/>
      <w:lvlJc w:val="left"/>
      <w:pPr>
        <w:tabs>
          <w:tab w:val="num" w:pos="1440"/>
        </w:tabs>
        <w:ind w:left="1440" w:hanging="360"/>
      </w:pPr>
      <w:rPr>
        <w:rFonts w:ascii="Segoe UI" w:hAnsi="Segoe UI" w:hint="default"/>
      </w:rPr>
    </w:lvl>
    <w:lvl w:ilvl="2" w:tplc="EC00563A" w:tentative="1">
      <w:start w:val="1"/>
      <w:numFmt w:val="bullet"/>
      <w:lvlText w:val="-"/>
      <w:lvlJc w:val="left"/>
      <w:pPr>
        <w:tabs>
          <w:tab w:val="num" w:pos="2160"/>
        </w:tabs>
        <w:ind w:left="2160" w:hanging="360"/>
      </w:pPr>
      <w:rPr>
        <w:rFonts w:ascii="Segoe UI" w:hAnsi="Segoe UI" w:hint="default"/>
      </w:rPr>
    </w:lvl>
    <w:lvl w:ilvl="3" w:tplc="6E6E1054" w:tentative="1">
      <w:start w:val="1"/>
      <w:numFmt w:val="bullet"/>
      <w:lvlText w:val="-"/>
      <w:lvlJc w:val="left"/>
      <w:pPr>
        <w:tabs>
          <w:tab w:val="num" w:pos="2880"/>
        </w:tabs>
        <w:ind w:left="2880" w:hanging="360"/>
      </w:pPr>
      <w:rPr>
        <w:rFonts w:ascii="Segoe UI" w:hAnsi="Segoe UI" w:hint="default"/>
      </w:rPr>
    </w:lvl>
    <w:lvl w:ilvl="4" w:tplc="DE88805E" w:tentative="1">
      <w:start w:val="1"/>
      <w:numFmt w:val="bullet"/>
      <w:lvlText w:val="-"/>
      <w:lvlJc w:val="left"/>
      <w:pPr>
        <w:tabs>
          <w:tab w:val="num" w:pos="3600"/>
        </w:tabs>
        <w:ind w:left="3600" w:hanging="360"/>
      </w:pPr>
      <w:rPr>
        <w:rFonts w:ascii="Segoe UI" w:hAnsi="Segoe UI" w:hint="default"/>
      </w:rPr>
    </w:lvl>
    <w:lvl w:ilvl="5" w:tplc="103E81CC" w:tentative="1">
      <w:start w:val="1"/>
      <w:numFmt w:val="bullet"/>
      <w:lvlText w:val="-"/>
      <w:lvlJc w:val="left"/>
      <w:pPr>
        <w:tabs>
          <w:tab w:val="num" w:pos="4320"/>
        </w:tabs>
        <w:ind w:left="4320" w:hanging="360"/>
      </w:pPr>
      <w:rPr>
        <w:rFonts w:ascii="Segoe UI" w:hAnsi="Segoe UI" w:hint="default"/>
      </w:rPr>
    </w:lvl>
    <w:lvl w:ilvl="6" w:tplc="D8909C06" w:tentative="1">
      <w:start w:val="1"/>
      <w:numFmt w:val="bullet"/>
      <w:lvlText w:val="-"/>
      <w:lvlJc w:val="left"/>
      <w:pPr>
        <w:tabs>
          <w:tab w:val="num" w:pos="5040"/>
        </w:tabs>
        <w:ind w:left="5040" w:hanging="360"/>
      </w:pPr>
      <w:rPr>
        <w:rFonts w:ascii="Segoe UI" w:hAnsi="Segoe UI" w:hint="default"/>
      </w:rPr>
    </w:lvl>
    <w:lvl w:ilvl="7" w:tplc="0BC61EA8" w:tentative="1">
      <w:start w:val="1"/>
      <w:numFmt w:val="bullet"/>
      <w:lvlText w:val="-"/>
      <w:lvlJc w:val="left"/>
      <w:pPr>
        <w:tabs>
          <w:tab w:val="num" w:pos="5760"/>
        </w:tabs>
        <w:ind w:left="5760" w:hanging="360"/>
      </w:pPr>
      <w:rPr>
        <w:rFonts w:ascii="Segoe UI" w:hAnsi="Segoe UI" w:hint="default"/>
      </w:rPr>
    </w:lvl>
    <w:lvl w:ilvl="8" w:tplc="6436ECB6" w:tentative="1">
      <w:start w:val="1"/>
      <w:numFmt w:val="bullet"/>
      <w:lvlText w:val="-"/>
      <w:lvlJc w:val="left"/>
      <w:pPr>
        <w:tabs>
          <w:tab w:val="num" w:pos="6480"/>
        </w:tabs>
        <w:ind w:left="6480" w:hanging="360"/>
      </w:pPr>
      <w:rPr>
        <w:rFonts w:ascii="Segoe UI" w:hAnsi="Segoe UI" w:hint="default"/>
      </w:rPr>
    </w:lvl>
  </w:abstractNum>
  <w:abstractNum w:abstractNumId="5" w15:restartNumberingAfterBreak="0">
    <w:nsid w:val="6C7B6FFF"/>
    <w:multiLevelType w:val="hybridMultilevel"/>
    <w:tmpl w:val="CC70673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74AB17FE"/>
    <w:multiLevelType w:val="hybridMultilevel"/>
    <w:tmpl w:val="32CC4014"/>
    <w:lvl w:ilvl="0" w:tplc="F7F4D462">
      <w:numFmt w:val="bullet"/>
      <w:lvlText w:val="-"/>
      <w:lvlJc w:val="left"/>
      <w:pPr>
        <w:ind w:left="720" w:hanging="360"/>
      </w:pPr>
      <w:rPr>
        <w:rFonts w:ascii="Segoe UI" w:eastAsiaTheme="minorHAnsi" w:hAnsi="Segoe UI" w:cs="Segoe U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3"/>
  </w:num>
  <w:num w:numId="4">
    <w:abstractNumId w:val="1"/>
  </w:num>
  <w:num w:numId="5">
    <w:abstractNumId w:val="2"/>
  </w:num>
  <w:num w:numId="6">
    <w:abstractNumId w:val="4"/>
  </w:num>
  <w:num w:numId="7">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4"/>
  <w:defaultTabStop w:val="708"/>
  <w:hyphenationZone w:val="425"/>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6AF6"/>
    <w:rsid w:val="00011FC1"/>
    <w:rsid w:val="000120E2"/>
    <w:rsid w:val="000165D1"/>
    <w:rsid w:val="0004390E"/>
    <w:rsid w:val="0007114C"/>
    <w:rsid w:val="00095303"/>
    <w:rsid w:val="000A4A39"/>
    <w:rsid w:val="000A5F6B"/>
    <w:rsid w:val="000D4CFB"/>
    <w:rsid w:val="00123C17"/>
    <w:rsid w:val="001401F8"/>
    <w:rsid w:val="001521CF"/>
    <w:rsid w:val="00163B8B"/>
    <w:rsid w:val="00164A85"/>
    <w:rsid w:val="001823C0"/>
    <w:rsid w:val="001860E7"/>
    <w:rsid w:val="001A3C40"/>
    <w:rsid w:val="001C2587"/>
    <w:rsid w:val="001E3D17"/>
    <w:rsid w:val="001E57CE"/>
    <w:rsid w:val="00225592"/>
    <w:rsid w:val="002527A7"/>
    <w:rsid w:val="00260B57"/>
    <w:rsid w:val="002825F3"/>
    <w:rsid w:val="002C2585"/>
    <w:rsid w:val="00301BBA"/>
    <w:rsid w:val="00317F8A"/>
    <w:rsid w:val="00355CD1"/>
    <w:rsid w:val="00356669"/>
    <w:rsid w:val="00362C98"/>
    <w:rsid w:val="00365CB9"/>
    <w:rsid w:val="003B2F2B"/>
    <w:rsid w:val="003C0D3B"/>
    <w:rsid w:val="003C2BA4"/>
    <w:rsid w:val="003C6C23"/>
    <w:rsid w:val="003E5922"/>
    <w:rsid w:val="003F2CDA"/>
    <w:rsid w:val="004021BC"/>
    <w:rsid w:val="004110A0"/>
    <w:rsid w:val="004206BD"/>
    <w:rsid w:val="00431CDD"/>
    <w:rsid w:val="00432346"/>
    <w:rsid w:val="00443FCE"/>
    <w:rsid w:val="00463BF8"/>
    <w:rsid w:val="004814A7"/>
    <w:rsid w:val="004B31D4"/>
    <w:rsid w:val="004C23FF"/>
    <w:rsid w:val="004E05C4"/>
    <w:rsid w:val="004E3F47"/>
    <w:rsid w:val="004F2611"/>
    <w:rsid w:val="0051310A"/>
    <w:rsid w:val="00542E0F"/>
    <w:rsid w:val="00551375"/>
    <w:rsid w:val="005A657C"/>
    <w:rsid w:val="005A7088"/>
    <w:rsid w:val="005E2FC8"/>
    <w:rsid w:val="005F2F22"/>
    <w:rsid w:val="00614990"/>
    <w:rsid w:val="0069776E"/>
    <w:rsid w:val="006E0150"/>
    <w:rsid w:val="006E0FD6"/>
    <w:rsid w:val="006E2F90"/>
    <w:rsid w:val="006E5D95"/>
    <w:rsid w:val="006F142D"/>
    <w:rsid w:val="0072135B"/>
    <w:rsid w:val="00726AD1"/>
    <w:rsid w:val="00737E15"/>
    <w:rsid w:val="00771404"/>
    <w:rsid w:val="00771890"/>
    <w:rsid w:val="007837D0"/>
    <w:rsid w:val="00795EEF"/>
    <w:rsid w:val="007C3DB8"/>
    <w:rsid w:val="00811425"/>
    <w:rsid w:val="00830590"/>
    <w:rsid w:val="00841F8D"/>
    <w:rsid w:val="008544D5"/>
    <w:rsid w:val="0088415E"/>
    <w:rsid w:val="00891B51"/>
    <w:rsid w:val="00893819"/>
    <w:rsid w:val="008B5041"/>
    <w:rsid w:val="008C4534"/>
    <w:rsid w:val="008D6406"/>
    <w:rsid w:val="0096025D"/>
    <w:rsid w:val="009818B2"/>
    <w:rsid w:val="009822E2"/>
    <w:rsid w:val="0098527B"/>
    <w:rsid w:val="009D1426"/>
    <w:rsid w:val="009E0419"/>
    <w:rsid w:val="00A06952"/>
    <w:rsid w:val="00A150D2"/>
    <w:rsid w:val="00A20967"/>
    <w:rsid w:val="00A216AE"/>
    <w:rsid w:val="00A51E82"/>
    <w:rsid w:val="00A61AD7"/>
    <w:rsid w:val="00A73A7D"/>
    <w:rsid w:val="00A7657E"/>
    <w:rsid w:val="00A77335"/>
    <w:rsid w:val="00A87DED"/>
    <w:rsid w:val="00A91FDB"/>
    <w:rsid w:val="00AB287B"/>
    <w:rsid w:val="00AF6FD1"/>
    <w:rsid w:val="00AF7164"/>
    <w:rsid w:val="00AF79C0"/>
    <w:rsid w:val="00B17013"/>
    <w:rsid w:val="00B2496F"/>
    <w:rsid w:val="00B26E70"/>
    <w:rsid w:val="00B56066"/>
    <w:rsid w:val="00B73651"/>
    <w:rsid w:val="00BB6CB4"/>
    <w:rsid w:val="00BD2F88"/>
    <w:rsid w:val="00BD345F"/>
    <w:rsid w:val="00BD41F7"/>
    <w:rsid w:val="00BE185B"/>
    <w:rsid w:val="00C26AF6"/>
    <w:rsid w:val="00C5352E"/>
    <w:rsid w:val="00C5364F"/>
    <w:rsid w:val="00C60D51"/>
    <w:rsid w:val="00C65069"/>
    <w:rsid w:val="00C711C0"/>
    <w:rsid w:val="00C86F42"/>
    <w:rsid w:val="00C87EF3"/>
    <w:rsid w:val="00CA40B8"/>
    <w:rsid w:val="00CC7DDD"/>
    <w:rsid w:val="00CE5690"/>
    <w:rsid w:val="00D00106"/>
    <w:rsid w:val="00D00DAC"/>
    <w:rsid w:val="00D25DD2"/>
    <w:rsid w:val="00D47D42"/>
    <w:rsid w:val="00D602B0"/>
    <w:rsid w:val="00D74B67"/>
    <w:rsid w:val="00DA7875"/>
    <w:rsid w:val="00DB04DE"/>
    <w:rsid w:val="00DD2F80"/>
    <w:rsid w:val="00DF5E1D"/>
    <w:rsid w:val="00E10861"/>
    <w:rsid w:val="00E272EB"/>
    <w:rsid w:val="00E478C3"/>
    <w:rsid w:val="00E64F4F"/>
    <w:rsid w:val="00E828B2"/>
    <w:rsid w:val="00F30286"/>
    <w:rsid w:val="00F45927"/>
    <w:rsid w:val="00F47B08"/>
    <w:rsid w:val="00F94CA6"/>
    <w:rsid w:val="00FB6737"/>
    <w:rsid w:val="00FE0207"/>
    <w:rsid w:val="00FE21D2"/>
    <w:rsid w:val="00FE6179"/>
    <w:rsid w:val="00FF1FA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53249"/>
    <o:shapelayout v:ext="edit">
      <o:idmap v:ext="edit" data="1"/>
    </o:shapelayout>
  </w:shapeDefaults>
  <w:decimalSymbol w:val=","/>
  <w:listSeparator w:val=";"/>
  <w14:docId w14:val="4EF6C4A6"/>
  <w15:chartTrackingRefBased/>
  <w15:docId w15:val="{F2374C98-5AFD-4EF0-8293-83608FE1E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1A3C40"/>
    <w:pPr>
      <w:spacing w:after="200" w:line="276" w:lineRule="auto"/>
    </w:pPr>
    <w:rPr>
      <w:rFonts w:ascii="Segoe UI" w:hAnsi="Segoe UI"/>
      <w:lang w:val="en-US"/>
    </w:rPr>
  </w:style>
  <w:style w:type="paragraph" w:styleId="Kop1">
    <w:name w:val="heading 1"/>
    <w:basedOn w:val="Standaard"/>
    <w:next w:val="Standaard"/>
    <w:link w:val="Kop1Char"/>
    <w:uiPriority w:val="9"/>
    <w:qFormat/>
    <w:rsid w:val="00C26AF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Kop2">
    <w:name w:val="heading 2"/>
    <w:basedOn w:val="Standaard"/>
    <w:next w:val="Standaard"/>
    <w:link w:val="Kop2Char"/>
    <w:qFormat/>
    <w:rsid w:val="00C26AF6"/>
    <w:pPr>
      <w:spacing w:after="0" w:line="240" w:lineRule="auto"/>
      <w:jc w:val="center"/>
      <w:outlineLvl w:val="1"/>
    </w:pPr>
    <w:rPr>
      <w:rFonts w:ascii="Times New Roman" w:eastAsia="Times New Roman" w:hAnsi="Times New Roman" w:cs="Times New Roman"/>
      <w:b/>
      <w:bCs/>
      <w:color w:val="000000"/>
      <w:kern w:val="28"/>
      <w:sz w:val="24"/>
      <w:szCs w:val="24"/>
      <w:lang w:val="en-CA" w:eastAsia="en-CA"/>
    </w:rPr>
  </w:style>
  <w:style w:type="paragraph" w:styleId="Kop3">
    <w:name w:val="heading 3"/>
    <w:basedOn w:val="Standaard"/>
    <w:next w:val="Standaard"/>
    <w:link w:val="Kop3Char"/>
    <w:uiPriority w:val="9"/>
    <w:semiHidden/>
    <w:unhideWhenUsed/>
    <w:qFormat/>
    <w:rsid w:val="00C26AF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Kop4">
    <w:name w:val="heading 4"/>
    <w:basedOn w:val="Standaard"/>
    <w:next w:val="Standaard"/>
    <w:link w:val="Kop4Char"/>
    <w:uiPriority w:val="9"/>
    <w:semiHidden/>
    <w:unhideWhenUsed/>
    <w:qFormat/>
    <w:rsid w:val="00C26AF6"/>
    <w:pPr>
      <w:keepNext/>
      <w:keepLines/>
      <w:spacing w:before="200" w:after="0"/>
      <w:outlineLvl w:val="3"/>
    </w:pPr>
    <w:rPr>
      <w:rFonts w:asciiTheme="majorHAnsi" w:eastAsiaTheme="majorEastAsia" w:hAnsiTheme="majorHAnsi" w:cstheme="majorBidi"/>
      <w:b/>
      <w:bCs/>
      <w:i/>
      <w:iCs/>
      <w:color w:val="5B9BD5" w:themeColor="accent1"/>
    </w:rPr>
  </w:style>
  <w:style w:type="paragraph" w:styleId="Kop5">
    <w:name w:val="heading 5"/>
    <w:basedOn w:val="Standaard"/>
    <w:next w:val="Standaard"/>
    <w:link w:val="Kop5Char"/>
    <w:uiPriority w:val="9"/>
    <w:semiHidden/>
    <w:unhideWhenUsed/>
    <w:qFormat/>
    <w:rsid w:val="00C26AF6"/>
    <w:pPr>
      <w:keepNext/>
      <w:keepLines/>
      <w:spacing w:before="40" w:after="0"/>
      <w:outlineLvl w:val="4"/>
    </w:pPr>
    <w:rPr>
      <w:rFonts w:asciiTheme="majorHAnsi" w:eastAsiaTheme="majorEastAsia" w:hAnsiTheme="majorHAnsi" w:cstheme="majorBidi"/>
      <w:color w:val="2E74B5" w:themeColor="accent1" w:themeShade="BF"/>
    </w:rPr>
  </w:style>
  <w:style w:type="paragraph" w:styleId="Kop6">
    <w:name w:val="heading 6"/>
    <w:basedOn w:val="Standaard"/>
    <w:next w:val="Standaard"/>
    <w:link w:val="Kop6Char"/>
    <w:uiPriority w:val="9"/>
    <w:semiHidden/>
    <w:unhideWhenUsed/>
    <w:qFormat/>
    <w:rsid w:val="00C26AF6"/>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8D6406"/>
    <w:pPr>
      <w:spacing w:after="0" w:line="240" w:lineRule="auto"/>
    </w:pPr>
  </w:style>
  <w:style w:type="character" w:customStyle="1" w:styleId="Kop1Char">
    <w:name w:val="Kop 1 Char"/>
    <w:basedOn w:val="Standaardalinea-lettertype"/>
    <w:link w:val="Kop1"/>
    <w:uiPriority w:val="9"/>
    <w:rsid w:val="00C26AF6"/>
    <w:rPr>
      <w:rFonts w:asciiTheme="majorHAnsi" w:eastAsiaTheme="majorEastAsia" w:hAnsiTheme="majorHAnsi" w:cstheme="majorBidi"/>
      <w:color w:val="2E74B5" w:themeColor="accent1" w:themeShade="BF"/>
      <w:sz w:val="32"/>
      <w:szCs w:val="32"/>
      <w:lang w:val="en-US"/>
    </w:rPr>
  </w:style>
  <w:style w:type="character" w:customStyle="1" w:styleId="Kop2Char">
    <w:name w:val="Kop 2 Char"/>
    <w:basedOn w:val="Standaardalinea-lettertype"/>
    <w:link w:val="Kop2"/>
    <w:rsid w:val="00C26AF6"/>
    <w:rPr>
      <w:rFonts w:ascii="Times New Roman" w:eastAsia="Times New Roman" w:hAnsi="Times New Roman" w:cs="Times New Roman"/>
      <w:b/>
      <w:bCs/>
      <w:color w:val="000000"/>
      <w:kern w:val="28"/>
      <w:sz w:val="24"/>
      <w:szCs w:val="24"/>
      <w:lang w:val="en-CA" w:eastAsia="en-CA"/>
    </w:rPr>
  </w:style>
  <w:style w:type="character" w:customStyle="1" w:styleId="Kop3Char">
    <w:name w:val="Kop 3 Char"/>
    <w:basedOn w:val="Standaardalinea-lettertype"/>
    <w:link w:val="Kop3"/>
    <w:uiPriority w:val="9"/>
    <w:semiHidden/>
    <w:rsid w:val="00C26AF6"/>
    <w:rPr>
      <w:rFonts w:asciiTheme="majorHAnsi" w:eastAsiaTheme="majorEastAsia" w:hAnsiTheme="majorHAnsi" w:cstheme="majorBidi"/>
      <w:color w:val="1F4D78" w:themeColor="accent1" w:themeShade="7F"/>
      <w:sz w:val="24"/>
      <w:szCs w:val="24"/>
      <w:lang w:val="en-US"/>
    </w:rPr>
  </w:style>
  <w:style w:type="character" w:customStyle="1" w:styleId="Kop4Char">
    <w:name w:val="Kop 4 Char"/>
    <w:basedOn w:val="Standaardalinea-lettertype"/>
    <w:link w:val="Kop4"/>
    <w:uiPriority w:val="9"/>
    <w:semiHidden/>
    <w:rsid w:val="00C26AF6"/>
    <w:rPr>
      <w:rFonts w:asciiTheme="majorHAnsi" w:eastAsiaTheme="majorEastAsia" w:hAnsiTheme="majorHAnsi" w:cstheme="majorBidi"/>
      <w:b/>
      <w:bCs/>
      <w:i/>
      <w:iCs/>
      <w:color w:val="5B9BD5" w:themeColor="accent1"/>
      <w:lang w:val="en-US"/>
    </w:rPr>
  </w:style>
  <w:style w:type="character" w:customStyle="1" w:styleId="Kop5Char">
    <w:name w:val="Kop 5 Char"/>
    <w:basedOn w:val="Standaardalinea-lettertype"/>
    <w:link w:val="Kop5"/>
    <w:uiPriority w:val="9"/>
    <w:semiHidden/>
    <w:rsid w:val="00C26AF6"/>
    <w:rPr>
      <w:rFonts w:asciiTheme="majorHAnsi" w:eastAsiaTheme="majorEastAsia" w:hAnsiTheme="majorHAnsi" w:cstheme="majorBidi"/>
      <w:color w:val="2E74B5" w:themeColor="accent1" w:themeShade="BF"/>
      <w:lang w:val="en-US"/>
    </w:rPr>
  </w:style>
  <w:style w:type="character" w:customStyle="1" w:styleId="Kop6Char">
    <w:name w:val="Kop 6 Char"/>
    <w:basedOn w:val="Standaardalinea-lettertype"/>
    <w:link w:val="Kop6"/>
    <w:uiPriority w:val="9"/>
    <w:semiHidden/>
    <w:rsid w:val="00C26AF6"/>
    <w:rPr>
      <w:rFonts w:asciiTheme="majorHAnsi" w:eastAsiaTheme="majorEastAsia" w:hAnsiTheme="majorHAnsi" w:cstheme="majorBidi"/>
      <w:color w:val="1F4D78" w:themeColor="accent1" w:themeShade="7F"/>
      <w:lang w:val="en-US"/>
    </w:rPr>
  </w:style>
  <w:style w:type="paragraph" w:styleId="Normaalweb">
    <w:name w:val="Normal (Web)"/>
    <w:basedOn w:val="Standaard"/>
    <w:uiPriority w:val="99"/>
    <w:unhideWhenUsed/>
    <w:rsid w:val="00C26AF6"/>
    <w:pPr>
      <w:spacing w:before="100" w:beforeAutospacing="1" w:after="100" w:afterAutospacing="1" w:line="240" w:lineRule="auto"/>
    </w:pPr>
    <w:rPr>
      <w:rFonts w:ascii="Times New Roman" w:eastAsiaTheme="minorEastAsia" w:hAnsi="Times New Roman" w:cs="Times New Roman"/>
      <w:sz w:val="24"/>
      <w:szCs w:val="24"/>
      <w:lang w:val="nl-NL" w:eastAsia="nl-NL"/>
    </w:rPr>
  </w:style>
  <w:style w:type="paragraph" w:styleId="Ballontekst">
    <w:name w:val="Balloon Text"/>
    <w:basedOn w:val="Standaard"/>
    <w:link w:val="BallontekstChar"/>
    <w:uiPriority w:val="99"/>
    <w:semiHidden/>
    <w:unhideWhenUsed/>
    <w:rsid w:val="00C26AF6"/>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C26AF6"/>
    <w:rPr>
      <w:rFonts w:ascii="Tahoma" w:hAnsi="Tahoma" w:cs="Tahoma"/>
      <w:sz w:val="16"/>
      <w:szCs w:val="16"/>
      <w:lang w:val="en-US"/>
    </w:rPr>
  </w:style>
  <w:style w:type="table" w:styleId="Tabelraster">
    <w:name w:val="Table Grid"/>
    <w:basedOn w:val="Standaardtabel"/>
    <w:uiPriority w:val="39"/>
    <w:rsid w:val="00C26AF6"/>
    <w:pPr>
      <w:spacing w:after="0" w:line="240" w:lineRule="auto"/>
    </w:pPr>
    <w:rPr>
      <w:rFonts w:ascii="Segoe UI" w:hAnsi="Segoe U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chtearcering">
    <w:name w:val="Light Shading"/>
    <w:basedOn w:val="Standaardtabel"/>
    <w:uiPriority w:val="60"/>
    <w:rsid w:val="00C26AF6"/>
    <w:pPr>
      <w:spacing w:after="0" w:line="240" w:lineRule="auto"/>
    </w:pPr>
    <w:rPr>
      <w:rFonts w:ascii="Segoe UI" w:hAnsi="Segoe UI"/>
      <w:color w:val="000000" w:themeColor="text1" w:themeShade="BF"/>
      <w:lang w:val="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Regelnummer">
    <w:name w:val="line number"/>
    <w:basedOn w:val="Standaardalinea-lettertype"/>
    <w:uiPriority w:val="99"/>
    <w:semiHidden/>
    <w:unhideWhenUsed/>
    <w:rsid w:val="00C26AF6"/>
  </w:style>
  <w:style w:type="paragraph" w:styleId="Koptekst">
    <w:name w:val="header"/>
    <w:basedOn w:val="Standaard"/>
    <w:link w:val="KoptekstChar"/>
    <w:uiPriority w:val="99"/>
    <w:unhideWhenUsed/>
    <w:rsid w:val="00C26AF6"/>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C26AF6"/>
    <w:rPr>
      <w:rFonts w:ascii="Segoe UI" w:hAnsi="Segoe UI"/>
      <w:lang w:val="en-US"/>
    </w:rPr>
  </w:style>
  <w:style w:type="paragraph" w:styleId="Voettekst">
    <w:name w:val="footer"/>
    <w:basedOn w:val="Standaard"/>
    <w:link w:val="VoettekstChar"/>
    <w:uiPriority w:val="99"/>
    <w:unhideWhenUsed/>
    <w:rsid w:val="00C26AF6"/>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C26AF6"/>
    <w:rPr>
      <w:rFonts w:ascii="Segoe UI" w:hAnsi="Segoe UI"/>
      <w:lang w:val="en-US"/>
    </w:rPr>
  </w:style>
  <w:style w:type="paragraph" w:customStyle="1" w:styleId="Default">
    <w:name w:val="Default"/>
    <w:rsid w:val="00C26AF6"/>
    <w:pPr>
      <w:widowControl w:val="0"/>
      <w:autoSpaceDE w:val="0"/>
      <w:autoSpaceDN w:val="0"/>
      <w:adjustRightInd w:val="0"/>
      <w:spacing w:after="0" w:line="240" w:lineRule="auto"/>
    </w:pPr>
    <w:rPr>
      <w:rFonts w:ascii="Calibri" w:eastAsia="Times New Roman" w:hAnsi="Calibri" w:cs="Calibri"/>
      <w:color w:val="000000"/>
      <w:sz w:val="24"/>
      <w:szCs w:val="24"/>
      <w:lang w:val="en-CA" w:eastAsia="en-CA"/>
    </w:rPr>
  </w:style>
  <w:style w:type="paragraph" w:customStyle="1" w:styleId="CM1">
    <w:name w:val="CM1"/>
    <w:basedOn w:val="Default"/>
    <w:next w:val="Default"/>
    <w:rsid w:val="00C26AF6"/>
    <w:rPr>
      <w:rFonts w:cs="Times New Roman"/>
      <w:color w:val="auto"/>
    </w:rPr>
  </w:style>
  <w:style w:type="character" w:styleId="Verwijzingopmerking">
    <w:name w:val="annotation reference"/>
    <w:basedOn w:val="Standaardalinea-lettertype"/>
    <w:uiPriority w:val="99"/>
    <w:semiHidden/>
    <w:unhideWhenUsed/>
    <w:rsid w:val="00C26AF6"/>
    <w:rPr>
      <w:sz w:val="16"/>
      <w:szCs w:val="16"/>
    </w:rPr>
  </w:style>
  <w:style w:type="paragraph" w:styleId="Tekstopmerking">
    <w:name w:val="annotation text"/>
    <w:basedOn w:val="Standaard"/>
    <w:link w:val="TekstopmerkingChar"/>
    <w:uiPriority w:val="99"/>
    <w:semiHidden/>
    <w:unhideWhenUsed/>
    <w:rsid w:val="00C26AF6"/>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C26AF6"/>
    <w:rPr>
      <w:rFonts w:ascii="Segoe UI" w:hAnsi="Segoe UI"/>
      <w:sz w:val="20"/>
      <w:szCs w:val="20"/>
      <w:lang w:val="en-US"/>
    </w:rPr>
  </w:style>
  <w:style w:type="paragraph" w:styleId="Onderwerpvanopmerking">
    <w:name w:val="annotation subject"/>
    <w:basedOn w:val="Tekstopmerking"/>
    <w:next w:val="Tekstopmerking"/>
    <w:link w:val="OnderwerpvanopmerkingChar"/>
    <w:uiPriority w:val="99"/>
    <w:semiHidden/>
    <w:unhideWhenUsed/>
    <w:rsid w:val="00C26AF6"/>
    <w:rPr>
      <w:b/>
      <w:bCs/>
    </w:rPr>
  </w:style>
  <w:style w:type="character" w:customStyle="1" w:styleId="OnderwerpvanopmerkingChar">
    <w:name w:val="Onderwerp van opmerking Char"/>
    <w:basedOn w:val="TekstopmerkingChar"/>
    <w:link w:val="Onderwerpvanopmerking"/>
    <w:uiPriority w:val="99"/>
    <w:semiHidden/>
    <w:rsid w:val="00C26AF6"/>
    <w:rPr>
      <w:rFonts w:ascii="Segoe UI" w:hAnsi="Segoe UI"/>
      <w:b/>
      <w:bCs/>
      <w:sz w:val="20"/>
      <w:szCs w:val="20"/>
      <w:lang w:val="en-US"/>
    </w:rPr>
  </w:style>
  <w:style w:type="character" w:styleId="Hyperlink">
    <w:name w:val="Hyperlink"/>
    <w:basedOn w:val="Standaardalinea-lettertype"/>
    <w:uiPriority w:val="99"/>
    <w:unhideWhenUsed/>
    <w:rsid w:val="00C26AF6"/>
    <w:rPr>
      <w:color w:val="0563C1" w:themeColor="hyperlink"/>
      <w:u w:val="single"/>
    </w:rPr>
  </w:style>
  <w:style w:type="character" w:customStyle="1" w:styleId="Vermelding1">
    <w:name w:val="Vermelding1"/>
    <w:basedOn w:val="Standaardalinea-lettertype"/>
    <w:uiPriority w:val="99"/>
    <w:semiHidden/>
    <w:unhideWhenUsed/>
    <w:rsid w:val="00C26AF6"/>
    <w:rPr>
      <w:color w:val="2B579A"/>
      <w:shd w:val="clear" w:color="auto" w:fill="E6E6E6"/>
    </w:rPr>
  </w:style>
  <w:style w:type="paragraph" w:styleId="Revisie">
    <w:name w:val="Revision"/>
    <w:hidden/>
    <w:uiPriority w:val="99"/>
    <w:semiHidden/>
    <w:rsid w:val="00C26AF6"/>
    <w:pPr>
      <w:spacing w:after="0" w:line="240" w:lineRule="auto"/>
    </w:pPr>
    <w:rPr>
      <w:rFonts w:ascii="Segoe UI" w:hAnsi="Segoe UI"/>
      <w:lang w:val="en-US"/>
    </w:rPr>
  </w:style>
  <w:style w:type="paragraph" w:styleId="Lijstalinea">
    <w:name w:val="List Paragraph"/>
    <w:basedOn w:val="Standaard"/>
    <w:uiPriority w:val="34"/>
    <w:qFormat/>
    <w:rsid w:val="00C26AF6"/>
    <w:pPr>
      <w:ind w:left="720"/>
      <w:contextualSpacing/>
    </w:pPr>
  </w:style>
  <w:style w:type="character" w:styleId="Tekstvantijdelijkeaanduiding">
    <w:name w:val="Placeholder Text"/>
    <w:basedOn w:val="Standaardalinea-lettertype"/>
    <w:uiPriority w:val="99"/>
    <w:semiHidden/>
    <w:rsid w:val="00C26AF6"/>
    <w:rPr>
      <w:color w:val="808080"/>
    </w:rPr>
  </w:style>
  <w:style w:type="paragraph" w:customStyle="1" w:styleId="aParagraafkop">
    <w:name w:val="a) Paragraaf kop"/>
    <w:basedOn w:val="Kop1"/>
    <w:link w:val="aParagraafkopChar"/>
    <w:qFormat/>
    <w:rsid w:val="001401F8"/>
    <w:pPr>
      <w:spacing w:line="480" w:lineRule="auto"/>
      <w:jc w:val="both"/>
    </w:pPr>
    <w:rPr>
      <w:rFonts w:ascii="Arial" w:hAnsi="Arial" w:cs="Arial"/>
      <w:b/>
      <w:color w:val="auto"/>
      <w:sz w:val="20"/>
      <w:szCs w:val="20"/>
    </w:rPr>
  </w:style>
  <w:style w:type="paragraph" w:customStyle="1" w:styleId="dGewonetekst">
    <w:name w:val="d) Gewone tekst"/>
    <w:basedOn w:val="Standaard"/>
    <w:link w:val="dGewonetekstChar"/>
    <w:qFormat/>
    <w:rsid w:val="00225592"/>
    <w:pPr>
      <w:spacing w:after="0" w:line="480" w:lineRule="auto"/>
      <w:jc w:val="both"/>
    </w:pPr>
    <w:rPr>
      <w:rFonts w:ascii="Arial" w:hAnsi="Arial" w:cs="Arial"/>
      <w:sz w:val="20"/>
    </w:rPr>
  </w:style>
  <w:style w:type="character" w:customStyle="1" w:styleId="GeenafstandChar">
    <w:name w:val="Geen afstand Char"/>
    <w:basedOn w:val="Standaardalinea-lettertype"/>
    <w:link w:val="Geenafstand"/>
    <w:uiPriority w:val="1"/>
    <w:rsid w:val="00C26AF6"/>
  </w:style>
  <w:style w:type="character" w:customStyle="1" w:styleId="aParagraafkopChar">
    <w:name w:val="a) Paragraaf kop Char"/>
    <w:basedOn w:val="GeenafstandChar"/>
    <w:link w:val="aParagraafkop"/>
    <w:rsid w:val="001401F8"/>
    <w:rPr>
      <w:rFonts w:ascii="Arial" w:eastAsiaTheme="majorEastAsia" w:hAnsi="Arial" w:cs="Arial"/>
      <w:b/>
      <w:sz w:val="20"/>
      <w:szCs w:val="20"/>
      <w:lang w:val="en-US"/>
    </w:rPr>
  </w:style>
  <w:style w:type="paragraph" w:customStyle="1" w:styleId="bSubkop">
    <w:name w:val="b) Subkop"/>
    <w:basedOn w:val="Kop2"/>
    <w:next w:val="dGewonetekst"/>
    <w:link w:val="bSubkopChar"/>
    <w:qFormat/>
    <w:rsid w:val="001401F8"/>
    <w:pPr>
      <w:spacing w:line="480" w:lineRule="auto"/>
      <w:jc w:val="both"/>
    </w:pPr>
    <w:rPr>
      <w:rFonts w:ascii="Arial" w:hAnsi="Arial" w:cs="Arial"/>
      <w:spacing w:val="-4"/>
      <w:sz w:val="20"/>
    </w:rPr>
  </w:style>
  <w:style w:type="character" w:customStyle="1" w:styleId="dGewonetekstChar">
    <w:name w:val="d) Gewone tekst Char"/>
    <w:basedOn w:val="GeenafstandChar"/>
    <w:link w:val="dGewonetekst"/>
    <w:rsid w:val="00225592"/>
    <w:rPr>
      <w:rFonts w:ascii="Arial" w:hAnsi="Arial" w:cs="Arial"/>
      <w:sz w:val="20"/>
      <w:lang w:val="en-US"/>
    </w:rPr>
  </w:style>
  <w:style w:type="paragraph" w:customStyle="1" w:styleId="cSubkop2">
    <w:name w:val="c) Subkop 2"/>
    <w:basedOn w:val="Kop3"/>
    <w:next w:val="dGewonetekst"/>
    <w:link w:val="cSubkop2Char"/>
    <w:qFormat/>
    <w:rsid w:val="003B2F2B"/>
    <w:pPr>
      <w:spacing w:before="0" w:line="480" w:lineRule="auto"/>
      <w:jc w:val="both"/>
    </w:pPr>
    <w:rPr>
      <w:rFonts w:ascii="Arial" w:hAnsi="Arial" w:cs="Arial"/>
      <w:color w:val="000000" w:themeColor="text1"/>
      <w:sz w:val="20"/>
      <w:u w:val="single"/>
    </w:rPr>
  </w:style>
  <w:style w:type="character" w:customStyle="1" w:styleId="bSubkopChar">
    <w:name w:val="b) Subkop Char"/>
    <w:basedOn w:val="GeenafstandChar"/>
    <w:link w:val="bSubkop"/>
    <w:rsid w:val="001401F8"/>
    <w:rPr>
      <w:rFonts w:ascii="Arial" w:eastAsia="Times New Roman" w:hAnsi="Arial" w:cs="Arial"/>
      <w:b/>
      <w:bCs/>
      <w:color w:val="000000"/>
      <w:spacing w:val="-4"/>
      <w:kern w:val="28"/>
      <w:sz w:val="20"/>
      <w:szCs w:val="24"/>
      <w:lang w:val="en-CA" w:eastAsia="en-CA"/>
    </w:rPr>
  </w:style>
  <w:style w:type="paragraph" w:customStyle="1" w:styleId="fAbstracttitel">
    <w:name w:val="f) Abstract titel"/>
    <w:basedOn w:val="aParagraafkop"/>
    <w:link w:val="fAbstracttitelChar"/>
    <w:qFormat/>
    <w:rsid w:val="00C26AF6"/>
  </w:style>
  <w:style w:type="character" w:customStyle="1" w:styleId="cSubkop2Char">
    <w:name w:val="c) Subkop 2 Char"/>
    <w:basedOn w:val="GeenafstandChar"/>
    <w:link w:val="cSubkop2"/>
    <w:rsid w:val="003B2F2B"/>
    <w:rPr>
      <w:rFonts w:ascii="Arial" w:eastAsiaTheme="majorEastAsia" w:hAnsi="Arial" w:cs="Arial"/>
      <w:color w:val="000000" w:themeColor="text1"/>
      <w:sz w:val="20"/>
      <w:szCs w:val="24"/>
      <w:u w:val="single"/>
      <w:lang w:val="en-US"/>
    </w:rPr>
  </w:style>
  <w:style w:type="paragraph" w:customStyle="1" w:styleId="eNrHoofdstuk">
    <w:name w:val="e) Nr Hoofdstuk"/>
    <w:basedOn w:val="Geenafstand"/>
    <w:link w:val="eNrHoofdstukChar"/>
    <w:qFormat/>
    <w:rsid w:val="00C26AF6"/>
    <w:pPr>
      <w:spacing w:line="480" w:lineRule="auto"/>
      <w:jc w:val="both"/>
    </w:pPr>
    <w:rPr>
      <w:rFonts w:ascii="Times New Roman" w:hAnsi="Times New Roman" w:cs="Times New Roman"/>
      <w:b/>
      <w:spacing w:val="-4"/>
      <w:lang w:val="en-US"/>
    </w:rPr>
  </w:style>
  <w:style w:type="character" w:customStyle="1" w:styleId="fAbstracttitelChar">
    <w:name w:val="f) Abstract titel Char"/>
    <w:basedOn w:val="aParagraafkopChar"/>
    <w:link w:val="fAbstracttitel"/>
    <w:rsid w:val="00C26AF6"/>
    <w:rPr>
      <w:rFonts w:ascii="Times New Roman" w:eastAsiaTheme="majorEastAsia" w:hAnsi="Times New Roman" w:cstheme="majorBidi"/>
      <w:b/>
      <w:sz w:val="20"/>
      <w:szCs w:val="20"/>
      <w:lang w:val="en-US"/>
    </w:rPr>
  </w:style>
  <w:style w:type="paragraph" w:customStyle="1" w:styleId="eTitelhoofdstuk">
    <w:name w:val="e) Titel hoofdstuk"/>
    <w:basedOn w:val="Geenafstand"/>
    <w:link w:val="eTitelhoofdstukChar"/>
    <w:qFormat/>
    <w:rsid w:val="00C26AF6"/>
    <w:pPr>
      <w:spacing w:line="480" w:lineRule="auto"/>
    </w:pPr>
    <w:rPr>
      <w:rFonts w:ascii="Times New Roman" w:hAnsi="Times New Roman" w:cs="Times New Roman"/>
      <w:b/>
      <w:lang w:val="en-US"/>
    </w:rPr>
  </w:style>
  <w:style w:type="character" w:customStyle="1" w:styleId="eNrHoofdstukChar">
    <w:name w:val="e) Nr Hoofdstuk Char"/>
    <w:basedOn w:val="GeenafstandChar"/>
    <w:link w:val="eNrHoofdstuk"/>
    <w:rsid w:val="00C26AF6"/>
    <w:rPr>
      <w:rFonts w:ascii="Times New Roman" w:hAnsi="Times New Roman" w:cs="Times New Roman"/>
      <w:b/>
      <w:spacing w:val="-4"/>
      <w:lang w:val="en-US"/>
    </w:rPr>
  </w:style>
  <w:style w:type="paragraph" w:customStyle="1" w:styleId="fAuteurs">
    <w:name w:val="f) Auteurs"/>
    <w:basedOn w:val="Geenafstand"/>
    <w:link w:val="fAuteursChar"/>
    <w:qFormat/>
    <w:rsid w:val="00C26AF6"/>
    <w:pPr>
      <w:spacing w:line="480" w:lineRule="auto"/>
    </w:pPr>
    <w:rPr>
      <w:rFonts w:ascii="Times New Roman" w:hAnsi="Times New Roman" w:cs="Times New Roman"/>
      <w:szCs w:val="20"/>
    </w:rPr>
  </w:style>
  <w:style w:type="character" w:customStyle="1" w:styleId="eTitelhoofdstukChar">
    <w:name w:val="e) Titel hoofdstuk Char"/>
    <w:basedOn w:val="GeenafstandChar"/>
    <w:link w:val="eTitelhoofdstuk"/>
    <w:rsid w:val="00C26AF6"/>
    <w:rPr>
      <w:rFonts w:ascii="Times New Roman" w:hAnsi="Times New Roman" w:cs="Times New Roman"/>
      <w:b/>
      <w:lang w:val="en-US"/>
    </w:rPr>
  </w:style>
  <w:style w:type="paragraph" w:customStyle="1" w:styleId="dReferenties">
    <w:name w:val="d) Referenties"/>
    <w:basedOn w:val="Standaard"/>
    <w:link w:val="dReferentiesChar"/>
    <w:qFormat/>
    <w:rsid w:val="00C26AF6"/>
    <w:pPr>
      <w:widowControl w:val="0"/>
      <w:autoSpaceDE w:val="0"/>
      <w:autoSpaceDN w:val="0"/>
      <w:adjustRightInd w:val="0"/>
      <w:spacing w:after="0" w:line="480" w:lineRule="auto"/>
      <w:ind w:left="640" w:hanging="640"/>
    </w:pPr>
    <w:rPr>
      <w:rFonts w:ascii="Times New Roman" w:hAnsi="Times New Roman" w:cs="Times New Roman"/>
      <w:spacing w:val="-4"/>
      <w:szCs w:val="18"/>
    </w:rPr>
  </w:style>
  <w:style w:type="character" w:customStyle="1" w:styleId="fAuteursChar">
    <w:name w:val="f) Auteurs Char"/>
    <w:basedOn w:val="GeenafstandChar"/>
    <w:link w:val="fAuteurs"/>
    <w:rsid w:val="00C26AF6"/>
    <w:rPr>
      <w:rFonts w:ascii="Times New Roman" w:hAnsi="Times New Roman" w:cs="Times New Roman"/>
      <w:szCs w:val="20"/>
    </w:rPr>
  </w:style>
  <w:style w:type="paragraph" w:customStyle="1" w:styleId="gPlaatjenr">
    <w:name w:val="g) Plaatje nr"/>
    <w:basedOn w:val="Kop3"/>
    <w:link w:val="gPlaatjenrChar"/>
    <w:qFormat/>
    <w:rsid w:val="00225592"/>
    <w:pPr>
      <w:spacing w:before="0" w:line="480" w:lineRule="auto"/>
    </w:pPr>
    <w:rPr>
      <w:rFonts w:ascii="Arial" w:hAnsi="Arial" w:cs="Arial"/>
      <w:b/>
      <w:color w:val="auto"/>
      <w:sz w:val="20"/>
    </w:rPr>
  </w:style>
  <w:style w:type="character" w:customStyle="1" w:styleId="dReferentiesChar">
    <w:name w:val="d) Referenties Char"/>
    <w:basedOn w:val="Standaardalinea-lettertype"/>
    <w:link w:val="dReferenties"/>
    <w:rsid w:val="00C26AF6"/>
    <w:rPr>
      <w:rFonts w:ascii="Times New Roman" w:hAnsi="Times New Roman" w:cs="Times New Roman"/>
      <w:spacing w:val="-4"/>
      <w:szCs w:val="18"/>
      <w:lang w:val="en-US"/>
    </w:rPr>
  </w:style>
  <w:style w:type="paragraph" w:customStyle="1" w:styleId="gPlaatjetitel">
    <w:name w:val="g) Plaatje titel"/>
    <w:basedOn w:val="Standaard"/>
    <w:link w:val="gPlaatjetitelChar"/>
    <w:qFormat/>
    <w:rsid w:val="00C26AF6"/>
    <w:pPr>
      <w:spacing w:after="0" w:line="480" w:lineRule="auto"/>
    </w:pPr>
    <w:rPr>
      <w:rFonts w:ascii="Times New Roman" w:hAnsi="Times New Roman" w:cs="Times New Roman"/>
      <w:spacing w:val="-4"/>
    </w:rPr>
  </w:style>
  <w:style w:type="character" w:customStyle="1" w:styleId="gPlaatjenrChar">
    <w:name w:val="g) Plaatje nr Char"/>
    <w:basedOn w:val="Standaardalinea-lettertype"/>
    <w:link w:val="gPlaatjenr"/>
    <w:rsid w:val="00225592"/>
    <w:rPr>
      <w:rFonts w:ascii="Arial" w:eastAsiaTheme="majorEastAsia" w:hAnsi="Arial" w:cs="Arial"/>
      <w:b/>
      <w:sz w:val="20"/>
      <w:szCs w:val="24"/>
      <w:lang w:val="en-US"/>
    </w:rPr>
  </w:style>
  <w:style w:type="paragraph" w:customStyle="1" w:styleId="gTabel">
    <w:name w:val="g) Tabel"/>
    <w:basedOn w:val="Standaard"/>
    <w:link w:val="gTabelChar"/>
    <w:qFormat/>
    <w:rsid w:val="00C26AF6"/>
    <w:pPr>
      <w:spacing w:after="0" w:line="360" w:lineRule="auto"/>
    </w:pPr>
    <w:rPr>
      <w:rFonts w:ascii="Times New Roman" w:eastAsia="Times New Roman" w:hAnsi="Times New Roman" w:cs="Times New Roman"/>
      <w:color w:val="000000"/>
      <w:sz w:val="20"/>
      <w:szCs w:val="20"/>
      <w:lang w:eastAsia="nl-NL"/>
    </w:rPr>
  </w:style>
  <w:style w:type="character" w:customStyle="1" w:styleId="gPlaatjetitelChar">
    <w:name w:val="g) Plaatje titel Char"/>
    <w:basedOn w:val="Standaardalinea-lettertype"/>
    <w:link w:val="gPlaatjetitel"/>
    <w:rsid w:val="00C26AF6"/>
    <w:rPr>
      <w:rFonts w:ascii="Times New Roman" w:hAnsi="Times New Roman" w:cs="Times New Roman"/>
      <w:spacing w:val="-4"/>
      <w:lang w:val="en-US"/>
    </w:rPr>
  </w:style>
  <w:style w:type="character" w:customStyle="1" w:styleId="gTabelChar">
    <w:name w:val="g) Tabel Char"/>
    <w:basedOn w:val="Standaardalinea-lettertype"/>
    <w:link w:val="gTabel"/>
    <w:rsid w:val="00C26AF6"/>
    <w:rPr>
      <w:rFonts w:ascii="Times New Roman" w:eastAsia="Times New Roman" w:hAnsi="Times New Roman" w:cs="Times New Roman"/>
      <w:color w:val="000000"/>
      <w:sz w:val="20"/>
      <w:szCs w:val="20"/>
      <w:lang w:val="en-US" w:eastAsia="nl-NL"/>
    </w:rPr>
  </w:style>
  <w:style w:type="table" w:styleId="Onopgemaaktetabel4">
    <w:name w:val="Plain Table 4"/>
    <w:basedOn w:val="Standaardtabel"/>
    <w:uiPriority w:val="44"/>
    <w:rsid w:val="00C26AF6"/>
    <w:pPr>
      <w:spacing w:after="0" w:line="240" w:lineRule="auto"/>
    </w:pPr>
    <w:rPr>
      <w:rFonts w:ascii="Segoe UI" w:hAnsi="Segoe UI"/>
      <w:lang w:val="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gnkrckgcgsb">
    <w:name w:val="gnkrckgcgsb"/>
    <w:basedOn w:val="Standaardalinea-lettertype"/>
    <w:rsid w:val="00C26AF6"/>
  </w:style>
  <w:style w:type="paragraph" w:styleId="Plattetekst">
    <w:name w:val="Body Text"/>
    <w:basedOn w:val="Standaard"/>
    <w:link w:val="PlattetekstChar"/>
    <w:uiPriority w:val="99"/>
    <w:semiHidden/>
    <w:unhideWhenUsed/>
    <w:rsid w:val="00C26AF6"/>
    <w:pPr>
      <w:spacing w:after="120"/>
    </w:pPr>
  </w:style>
  <w:style w:type="character" w:customStyle="1" w:styleId="PlattetekstChar">
    <w:name w:val="Platte tekst Char"/>
    <w:basedOn w:val="Standaardalinea-lettertype"/>
    <w:link w:val="Plattetekst"/>
    <w:uiPriority w:val="99"/>
    <w:semiHidden/>
    <w:rsid w:val="00C26AF6"/>
    <w:rPr>
      <w:rFonts w:ascii="Segoe UI" w:hAnsi="Segoe UI"/>
      <w:lang w:val="en-US"/>
    </w:rPr>
  </w:style>
  <w:style w:type="paragraph" w:customStyle="1" w:styleId="Stijl1">
    <w:name w:val="Stijl1"/>
    <w:basedOn w:val="Kop5"/>
    <w:link w:val="Stijl1Char"/>
    <w:qFormat/>
    <w:rsid w:val="00C26AF6"/>
    <w:pPr>
      <w:spacing w:before="0" w:line="480" w:lineRule="auto"/>
      <w:outlineLvl w:val="1"/>
    </w:pPr>
    <w:rPr>
      <w:rFonts w:ascii="Times New Roman" w:hAnsi="Times New Roman" w:cs="Times New Roman"/>
      <w:i/>
      <w:color w:val="000000" w:themeColor="text1"/>
    </w:rPr>
  </w:style>
  <w:style w:type="character" w:customStyle="1" w:styleId="Stijl1Char">
    <w:name w:val="Stijl1 Char"/>
    <w:basedOn w:val="Kop5Char"/>
    <w:link w:val="Stijl1"/>
    <w:rsid w:val="00C26AF6"/>
    <w:rPr>
      <w:rFonts w:ascii="Times New Roman" w:eastAsiaTheme="majorEastAsia" w:hAnsi="Times New Roman" w:cs="Times New Roman"/>
      <w:i/>
      <w:color w:val="000000" w:themeColor="text1"/>
      <w:lang w:val="en-US"/>
    </w:rPr>
  </w:style>
  <w:style w:type="table" w:customStyle="1" w:styleId="Tabelraster1">
    <w:name w:val="Tabelraster1"/>
    <w:basedOn w:val="Standaardtabel"/>
    <w:next w:val="Tabelraster"/>
    <w:uiPriority w:val="39"/>
    <w:unhideWhenUsed/>
    <w:rsid w:val="00B73651"/>
    <w:pPr>
      <w:spacing w:after="0" w:line="240" w:lineRule="auto"/>
    </w:pPr>
    <w:rPr>
      <w:rFonts w:ascii="Segoe UI" w:hAnsi="Segoe U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quizsection">
    <w:name w:val="quizsection"/>
    <w:basedOn w:val="Standaardalinea-lettertype"/>
    <w:rsid w:val="004F26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309996">
      <w:bodyDiv w:val="1"/>
      <w:marLeft w:val="0"/>
      <w:marRight w:val="0"/>
      <w:marTop w:val="0"/>
      <w:marBottom w:val="0"/>
      <w:divBdr>
        <w:top w:val="none" w:sz="0" w:space="0" w:color="auto"/>
        <w:left w:val="none" w:sz="0" w:space="0" w:color="auto"/>
        <w:bottom w:val="none" w:sz="0" w:space="0" w:color="auto"/>
        <w:right w:val="none" w:sz="0" w:space="0" w:color="auto"/>
      </w:divBdr>
    </w:div>
    <w:div w:id="268784121">
      <w:bodyDiv w:val="1"/>
      <w:marLeft w:val="0"/>
      <w:marRight w:val="0"/>
      <w:marTop w:val="0"/>
      <w:marBottom w:val="0"/>
      <w:divBdr>
        <w:top w:val="none" w:sz="0" w:space="0" w:color="auto"/>
        <w:left w:val="none" w:sz="0" w:space="0" w:color="auto"/>
        <w:bottom w:val="none" w:sz="0" w:space="0" w:color="auto"/>
        <w:right w:val="none" w:sz="0" w:space="0" w:color="auto"/>
      </w:divBdr>
    </w:div>
    <w:div w:id="512426930">
      <w:bodyDiv w:val="1"/>
      <w:marLeft w:val="0"/>
      <w:marRight w:val="0"/>
      <w:marTop w:val="0"/>
      <w:marBottom w:val="0"/>
      <w:divBdr>
        <w:top w:val="none" w:sz="0" w:space="0" w:color="auto"/>
        <w:left w:val="none" w:sz="0" w:space="0" w:color="auto"/>
        <w:bottom w:val="none" w:sz="0" w:space="0" w:color="auto"/>
        <w:right w:val="none" w:sz="0" w:space="0" w:color="auto"/>
      </w:divBdr>
    </w:div>
    <w:div w:id="910963259">
      <w:bodyDiv w:val="1"/>
      <w:marLeft w:val="0"/>
      <w:marRight w:val="0"/>
      <w:marTop w:val="0"/>
      <w:marBottom w:val="0"/>
      <w:divBdr>
        <w:top w:val="none" w:sz="0" w:space="0" w:color="auto"/>
        <w:left w:val="none" w:sz="0" w:space="0" w:color="auto"/>
        <w:bottom w:val="none" w:sz="0" w:space="0" w:color="auto"/>
        <w:right w:val="none" w:sz="0" w:space="0" w:color="auto"/>
      </w:divBdr>
    </w:div>
    <w:div w:id="1614046265">
      <w:bodyDiv w:val="1"/>
      <w:marLeft w:val="0"/>
      <w:marRight w:val="0"/>
      <w:marTop w:val="0"/>
      <w:marBottom w:val="0"/>
      <w:divBdr>
        <w:top w:val="none" w:sz="0" w:space="0" w:color="auto"/>
        <w:left w:val="none" w:sz="0" w:space="0" w:color="auto"/>
        <w:bottom w:val="none" w:sz="0" w:space="0" w:color="auto"/>
        <w:right w:val="none" w:sz="0" w:space="0" w:color="auto"/>
      </w:divBdr>
    </w:div>
    <w:div w:id="2061438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13.em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emf"/><Relationship Id="rId2" Type="http://schemas.openxmlformats.org/officeDocument/2006/relationships/numbering" Target="numbering.xml"/><Relationship Id="rId16" Type="http://schemas.openxmlformats.org/officeDocument/2006/relationships/image" Target="media/image8.tiff"/><Relationship Id="rId20"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emf"/><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tif"/><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BECFF-2CEA-40DC-9779-A9987941D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30260</Words>
  <Characters>166435</Characters>
  <Application>Microsoft Office Word</Application>
  <DocSecurity>0</DocSecurity>
  <Lines>1386</Lines>
  <Paragraphs>392</Paragraphs>
  <ScaleCrop>false</ScaleCrop>
  <HeadingPairs>
    <vt:vector size="2" baseType="variant">
      <vt:variant>
        <vt:lpstr>Titel</vt:lpstr>
      </vt:variant>
      <vt:variant>
        <vt:i4>1</vt:i4>
      </vt:variant>
    </vt:vector>
  </HeadingPairs>
  <TitlesOfParts>
    <vt:vector size="1" baseType="lpstr">
      <vt:lpstr/>
    </vt:vector>
  </TitlesOfParts>
  <Company>UMC Utrecht</Company>
  <LinksUpToDate>false</LinksUpToDate>
  <CharactersWithSpaces>196303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Vries-11, T.I. de</dc:creator>
  <cp:keywords/>
  <dc:description/>
  <cp:lastModifiedBy>Hageman-4, S.H.J. (Steven)</cp:lastModifiedBy>
  <cp:revision>2</cp:revision>
  <dcterms:created xsi:type="dcterms:W3CDTF">2021-06-04T14:42:00Z</dcterms:created>
  <dcterms:modified xsi:type="dcterms:W3CDTF">2021-06-04T14:42:00Z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http://www.zotero.org/styles/apa</vt:lpwstr>
  </property>
  <property fmtid="{D5CDD505-2E9C-101B-9397-08002B2CF9AE}" pid="3" name="Mendeley Recent Style Name 0_1">
    <vt:lpwstr>American Psychological Association 7th edition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http://www.zotero.org/styles/european-heart-journal</vt:lpwstr>
  </property>
  <property fmtid="{D5CDD505-2E9C-101B-9397-08002B2CF9AE}" pid="11" name="Mendeley Recent Style Name 4_1">
    <vt:lpwstr>European Heart Journal</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http://www.zotero.org/styles/modern-humanities-research-association</vt:lpwstr>
  </property>
  <property fmtid="{D5CDD505-2E9C-101B-9397-08002B2CF9AE}" pid="15" name="Mendeley Recent Style Name 6_1">
    <vt:lpwstr>Modern Humanities Research Association 3rd edition (note with bibliography)</vt:lpwstr>
  </property>
  <property fmtid="{D5CDD505-2E9C-101B-9397-08002B2CF9AE}" pid="16" name="Mendeley Recent Style Id 7_1">
    <vt:lpwstr>http://www.zotero.org/styles/modern-language-association</vt:lpwstr>
  </property>
  <property fmtid="{D5CDD505-2E9C-101B-9397-08002B2CF9AE}" pid="17" name="Mendeley Recent Style Name 7_1">
    <vt:lpwstr>Modern Language Association 8th edition</vt:lpwstr>
  </property>
  <property fmtid="{D5CDD505-2E9C-101B-9397-08002B2CF9AE}" pid="18" name="Mendeley Recent Style Id 8_1">
    <vt:lpwstr>http://www.zotero.org/styles/nature</vt:lpwstr>
  </property>
  <property fmtid="{D5CDD505-2E9C-101B-9397-08002B2CF9AE}" pid="19" name="Mendeley Recent Style Name 8_1">
    <vt:lpwstr>Nature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ca31e286-44e2-38c1-b0c6-79d8cd987d3b</vt:lpwstr>
  </property>
  <property fmtid="{D5CDD505-2E9C-101B-9397-08002B2CF9AE}" pid="24" name="Mendeley Citation Style_1">
    <vt:lpwstr>http://www.zotero.org/styles/european-heart-journal</vt:lpwstr>
  </property>
</Properties>
</file>